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2F9B" w14:textId="77777777" w:rsidR="00664458" w:rsidRPr="003040F4" w:rsidRDefault="00664458" w:rsidP="00664458">
      <w:pPr>
        <w:spacing w:after="0"/>
        <w:jc w:val="right"/>
        <w:rPr>
          <w:rFonts w:ascii="Times New Roman" w:eastAsia="Times New Roman" w:hAnsi="Times New Roman" w:cs="Times New Roman"/>
          <w:b/>
          <w:bCs/>
          <w:sz w:val="24"/>
          <w:szCs w:val="24"/>
          <w:lang w:eastAsia="ar-SA"/>
        </w:rPr>
      </w:pPr>
      <w:bookmarkStart w:id="0" w:name="_Hlk511984073"/>
      <w:r w:rsidRPr="003040F4">
        <w:rPr>
          <w:rFonts w:ascii="Times New Roman" w:eastAsia="Times New Roman" w:hAnsi="Times New Roman" w:cs="Times New Roman"/>
          <w:b/>
          <w:bCs/>
          <w:sz w:val="24"/>
          <w:szCs w:val="24"/>
          <w:lang w:eastAsia="ar-SA"/>
        </w:rPr>
        <w:t>Krajský úřad Libereckého kraje</w:t>
      </w:r>
    </w:p>
    <w:p w14:paraId="2ADC1863" w14:textId="77777777" w:rsidR="00664458" w:rsidRPr="003040F4" w:rsidRDefault="00664458" w:rsidP="00664458">
      <w:pPr>
        <w:spacing w:after="0"/>
        <w:jc w:val="right"/>
        <w:rPr>
          <w:rFonts w:ascii="Times New Roman" w:eastAsia="Times New Roman" w:hAnsi="Times New Roman" w:cs="Times New Roman"/>
          <w:bCs/>
          <w:sz w:val="24"/>
          <w:szCs w:val="24"/>
          <w:lang w:eastAsia="ar-SA"/>
        </w:rPr>
      </w:pPr>
      <w:r w:rsidRPr="003040F4">
        <w:rPr>
          <w:rFonts w:ascii="Times New Roman" w:eastAsia="Times New Roman" w:hAnsi="Times New Roman" w:cs="Times New Roman"/>
          <w:bCs/>
          <w:sz w:val="24"/>
          <w:szCs w:val="24"/>
          <w:lang w:eastAsia="ar-SA"/>
        </w:rPr>
        <w:t>Odbor silničního hospodářství</w:t>
      </w:r>
    </w:p>
    <w:p w14:paraId="58A067F4" w14:textId="77777777" w:rsidR="00664458" w:rsidRPr="003040F4" w:rsidRDefault="00664458" w:rsidP="00664458">
      <w:pPr>
        <w:spacing w:after="0"/>
        <w:jc w:val="right"/>
        <w:rPr>
          <w:rFonts w:ascii="Times New Roman" w:eastAsia="Times New Roman" w:hAnsi="Times New Roman" w:cs="Times New Roman"/>
          <w:bCs/>
          <w:sz w:val="24"/>
          <w:szCs w:val="24"/>
          <w:lang w:eastAsia="ar-SA"/>
        </w:rPr>
      </w:pPr>
      <w:r w:rsidRPr="003040F4">
        <w:rPr>
          <w:rFonts w:ascii="Times New Roman" w:eastAsia="Times New Roman" w:hAnsi="Times New Roman" w:cs="Times New Roman"/>
          <w:bCs/>
          <w:sz w:val="24"/>
          <w:szCs w:val="24"/>
          <w:lang w:eastAsia="ar-SA"/>
        </w:rPr>
        <w:t xml:space="preserve">U Jezu 642/2a </w:t>
      </w:r>
    </w:p>
    <w:p w14:paraId="1CC0DB40" w14:textId="77777777" w:rsidR="00664458" w:rsidRPr="003040F4" w:rsidRDefault="00664458" w:rsidP="00664458">
      <w:pPr>
        <w:spacing w:after="0"/>
        <w:jc w:val="right"/>
        <w:rPr>
          <w:rFonts w:ascii="Times New Roman" w:eastAsia="Times New Roman" w:hAnsi="Times New Roman" w:cs="Times New Roman"/>
          <w:bCs/>
          <w:sz w:val="24"/>
          <w:szCs w:val="24"/>
          <w:lang w:eastAsia="ar-SA"/>
        </w:rPr>
      </w:pPr>
      <w:r w:rsidRPr="003040F4">
        <w:rPr>
          <w:rFonts w:ascii="Times New Roman" w:eastAsia="Times New Roman" w:hAnsi="Times New Roman" w:cs="Times New Roman"/>
          <w:bCs/>
          <w:sz w:val="24"/>
          <w:szCs w:val="24"/>
          <w:lang w:eastAsia="ar-SA"/>
        </w:rPr>
        <w:t>461 80 Liberec 2</w:t>
      </w:r>
    </w:p>
    <w:bookmarkEnd w:id="0"/>
    <w:p w14:paraId="2DA7F766" w14:textId="77777777" w:rsidR="00664458" w:rsidRPr="003040F4" w:rsidRDefault="00664458" w:rsidP="00664458">
      <w:pPr>
        <w:spacing w:after="0"/>
        <w:jc w:val="both"/>
        <w:rPr>
          <w:rFonts w:ascii="Times New Roman" w:eastAsia="Times New Roman" w:hAnsi="Times New Roman" w:cs="Times New Roman"/>
          <w:bCs/>
          <w:sz w:val="24"/>
          <w:szCs w:val="24"/>
          <w:lang w:eastAsia="ar-SA"/>
        </w:rPr>
      </w:pPr>
    </w:p>
    <w:p w14:paraId="1FCAD308" w14:textId="77777777" w:rsidR="00664458" w:rsidRPr="003040F4" w:rsidRDefault="00664458" w:rsidP="00664458">
      <w:pPr>
        <w:spacing w:after="0"/>
        <w:jc w:val="right"/>
        <w:rPr>
          <w:rFonts w:ascii="Times New Roman" w:eastAsia="Times New Roman" w:hAnsi="Times New Roman" w:cs="Times New Roman"/>
          <w:b/>
          <w:sz w:val="24"/>
          <w:szCs w:val="24"/>
          <w:lang w:eastAsia="ar-SA"/>
        </w:rPr>
      </w:pPr>
      <w:r w:rsidRPr="003040F4">
        <w:rPr>
          <w:rFonts w:ascii="Times New Roman" w:eastAsia="Times New Roman" w:hAnsi="Times New Roman" w:cs="Times New Roman"/>
          <w:b/>
          <w:sz w:val="24"/>
          <w:szCs w:val="24"/>
          <w:lang w:eastAsia="ar-SA"/>
        </w:rPr>
        <w:t>k č.j.</w:t>
      </w:r>
      <w:r w:rsidRPr="003040F4">
        <w:rPr>
          <w:rFonts w:ascii="Times New Roman" w:hAnsi="Times New Roman" w:cs="Times New Roman"/>
          <w:b/>
          <w:sz w:val="24"/>
          <w:szCs w:val="24"/>
        </w:rPr>
        <w:t xml:space="preserve"> OSH 272/2023</w:t>
      </w:r>
    </w:p>
    <w:p w14:paraId="430E9E9E" w14:textId="77777777" w:rsidR="00664458" w:rsidRPr="003040F4" w:rsidRDefault="00664458" w:rsidP="00664458">
      <w:pPr>
        <w:spacing w:after="0"/>
        <w:jc w:val="right"/>
        <w:rPr>
          <w:rFonts w:ascii="Times New Roman" w:eastAsia="Times New Roman" w:hAnsi="Times New Roman" w:cs="Times New Roman"/>
          <w:b/>
          <w:sz w:val="24"/>
          <w:szCs w:val="24"/>
          <w:lang w:eastAsia="ar-SA"/>
        </w:rPr>
      </w:pPr>
    </w:p>
    <w:p w14:paraId="22E7DC88" w14:textId="77777777" w:rsidR="00664458" w:rsidRPr="003040F4" w:rsidRDefault="00664458" w:rsidP="00664458">
      <w:pPr>
        <w:spacing w:after="0"/>
        <w:jc w:val="right"/>
        <w:rPr>
          <w:rFonts w:ascii="Times New Roman" w:eastAsia="Times New Roman" w:hAnsi="Times New Roman" w:cs="Times New Roman"/>
          <w:b/>
          <w:sz w:val="24"/>
          <w:szCs w:val="24"/>
          <w:lang w:eastAsia="ar-SA"/>
        </w:rPr>
      </w:pPr>
      <w:r w:rsidRPr="003040F4">
        <w:rPr>
          <w:rFonts w:ascii="Times New Roman" w:eastAsia="Times New Roman" w:hAnsi="Times New Roman" w:cs="Times New Roman"/>
          <w:b/>
          <w:sz w:val="24"/>
          <w:szCs w:val="24"/>
          <w:lang w:eastAsia="ar-SA"/>
        </w:rPr>
        <w:t>k sp.zn. KULK 46920/2025/280.13/Fa</w:t>
      </w:r>
    </w:p>
    <w:p w14:paraId="3E174B6B" w14:textId="77777777" w:rsidR="00664458" w:rsidRPr="003040F4" w:rsidRDefault="00664458" w:rsidP="00664458">
      <w:pPr>
        <w:spacing w:after="0"/>
        <w:jc w:val="right"/>
        <w:rPr>
          <w:rFonts w:ascii="Times New Roman" w:eastAsia="Times New Roman" w:hAnsi="Times New Roman" w:cs="Times New Roman"/>
          <w:b/>
          <w:sz w:val="24"/>
          <w:szCs w:val="24"/>
          <w:lang w:eastAsia="ar-SA"/>
        </w:rPr>
      </w:pPr>
    </w:p>
    <w:p w14:paraId="26736DF0" w14:textId="77777777" w:rsidR="00664458" w:rsidRPr="003040F4" w:rsidRDefault="00664458" w:rsidP="00664458">
      <w:pPr>
        <w:spacing w:after="0"/>
        <w:jc w:val="right"/>
        <w:rPr>
          <w:rFonts w:ascii="Times New Roman" w:eastAsia="Times New Roman" w:hAnsi="Times New Roman" w:cs="Times New Roman"/>
          <w:b/>
          <w:sz w:val="24"/>
          <w:szCs w:val="24"/>
          <w:lang w:eastAsia="ar-SA"/>
        </w:rPr>
      </w:pPr>
    </w:p>
    <w:p w14:paraId="47630557" w14:textId="0A3580F3" w:rsidR="00664458" w:rsidRPr="003040F4" w:rsidRDefault="00664458" w:rsidP="00664458">
      <w:pPr>
        <w:spacing w:after="0"/>
        <w:ind w:left="-357"/>
        <w:jc w:val="right"/>
        <w:rPr>
          <w:rFonts w:ascii="Times New Roman" w:eastAsia="Times New Roman" w:hAnsi="Times New Roman" w:cs="Times New Roman"/>
          <w:bCs/>
          <w:sz w:val="24"/>
          <w:szCs w:val="24"/>
          <w:lang w:eastAsia="ar-SA"/>
        </w:rPr>
      </w:pPr>
      <w:r w:rsidRPr="003040F4">
        <w:rPr>
          <w:rFonts w:ascii="Times New Roman" w:eastAsia="Times New Roman" w:hAnsi="Times New Roman" w:cs="Times New Roman"/>
          <w:bCs/>
          <w:sz w:val="24"/>
          <w:szCs w:val="24"/>
          <w:lang w:eastAsia="ar-SA"/>
        </w:rPr>
        <w:t>v …………………… dne ……………. 202</w:t>
      </w:r>
      <w:r w:rsidR="003040F4">
        <w:rPr>
          <w:rFonts w:ascii="Times New Roman" w:eastAsia="Times New Roman" w:hAnsi="Times New Roman" w:cs="Times New Roman"/>
          <w:bCs/>
          <w:sz w:val="24"/>
          <w:szCs w:val="24"/>
          <w:lang w:eastAsia="ar-SA"/>
        </w:rPr>
        <w:t>5</w:t>
      </w:r>
    </w:p>
    <w:p w14:paraId="0D79867B" w14:textId="77777777" w:rsidR="003040F4" w:rsidRPr="006C7BDE" w:rsidRDefault="003040F4" w:rsidP="003040F4">
      <w:pPr>
        <w:spacing w:after="0"/>
        <w:rPr>
          <w:rFonts w:ascii="Times New Roman" w:hAnsi="Times New Roman" w:cs="Times New Roman"/>
          <w:bCs/>
          <w:sz w:val="24"/>
          <w:szCs w:val="24"/>
        </w:rPr>
      </w:pPr>
      <w:r w:rsidRPr="006C7BDE">
        <w:rPr>
          <w:rFonts w:ascii="Times New Roman" w:hAnsi="Times New Roman" w:cs="Times New Roman"/>
          <w:b/>
          <w:sz w:val="24"/>
          <w:szCs w:val="24"/>
        </w:rPr>
        <w:t>……………….………………..</w:t>
      </w:r>
    </w:p>
    <w:p w14:paraId="0A28D4BC" w14:textId="77777777" w:rsidR="003040F4" w:rsidRPr="006C7BDE" w:rsidRDefault="003040F4" w:rsidP="003040F4">
      <w:pPr>
        <w:suppressAutoHyphens/>
        <w:spacing w:after="0"/>
        <w:jc w:val="both"/>
        <w:rPr>
          <w:rFonts w:ascii="Times New Roman" w:hAnsi="Times New Roman" w:cs="Times New Roman"/>
          <w:bCs/>
          <w:sz w:val="24"/>
          <w:szCs w:val="24"/>
        </w:rPr>
      </w:pPr>
    </w:p>
    <w:p w14:paraId="5B75DEAD" w14:textId="77777777" w:rsidR="003040F4" w:rsidRPr="006C7BDE" w:rsidRDefault="003040F4" w:rsidP="003040F4">
      <w:pPr>
        <w:suppressAutoHyphens/>
        <w:spacing w:after="0"/>
        <w:jc w:val="both"/>
        <w:rPr>
          <w:rFonts w:ascii="Times New Roman" w:hAnsi="Times New Roman" w:cs="Times New Roman"/>
          <w:bCs/>
          <w:sz w:val="24"/>
          <w:szCs w:val="24"/>
        </w:rPr>
      </w:pPr>
      <w:r w:rsidRPr="006C7BDE">
        <w:rPr>
          <w:rFonts w:ascii="Times New Roman" w:hAnsi="Times New Roman" w:cs="Times New Roman"/>
          <w:bCs/>
          <w:sz w:val="24"/>
          <w:szCs w:val="24"/>
        </w:rPr>
        <w:t>nar. dne ………………………</w:t>
      </w:r>
    </w:p>
    <w:p w14:paraId="53EC7D65" w14:textId="77777777" w:rsidR="003040F4" w:rsidRPr="006C7BDE" w:rsidRDefault="003040F4" w:rsidP="003040F4">
      <w:pPr>
        <w:spacing w:after="0"/>
        <w:rPr>
          <w:rFonts w:ascii="Times New Roman" w:hAnsi="Times New Roman" w:cs="Times New Roman"/>
          <w:bCs/>
          <w:sz w:val="24"/>
          <w:szCs w:val="24"/>
        </w:rPr>
      </w:pPr>
    </w:p>
    <w:p w14:paraId="329370C5" w14:textId="77777777" w:rsidR="003040F4" w:rsidRPr="006C7BDE" w:rsidRDefault="003040F4" w:rsidP="003040F4">
      <w:pPr>
        <w:spacing w:after="0"/>
        <w:rPr>
          <w:rFonts w:ascii="Times New Roman" w:hAnsi="Times New Roman" w:cs="Times New Roman"/>
          <w:bCs/>
          <w:sz w:val="24"/>
          <w:szCs w:val="24"/>
        </w:rPr>
      </w:pPr>
      <w:r w:rsidRPr="006C7BDE">
        <w:rPr>
          <w:rFonts w:ascii="Times New Roman" w:hAnsi="Times New Roman" w:cs="Times New Roman"/>
          <w:bCs/>
          <w:sz w:val="24"/>
          <w:szCs w:val="24"/>
        </w:rPr>
        <w:t>trvale bytem ………………….</w:t>
      </w:r>
    </w:p>
    <w:p w14:paraId="5D5A10AE" w14:textId="77777777" w:rsidR="003040F4" w:rsidRPr="006C7BDE" w:rsidRDefault="003040F4" w:rsidP="003040F4">
      <w:pPr>
        <w:spacing w:after="0"/>
        <w:rPr>
          <w:rFonts w:ascii="Times New Roman" w:hAnsi="Times New Roman" w:cs="Times New Roman"/>
          <w:bCs/>
          <w:sz w:val="24"/>
          <w:szCs w:val="24"/>
        </w:rPr>
      </w:pPr>
    </w:p>
    <w:p w14:paraId="633EB841" w14:textId="77777777" w:rsidR="003040F4" w:rsidRPr="006C7BDE" w:rsidRDefault="003040F4" w:rsidP="003040F4">
      <w:pPr>
        <w:spacing w:after="0"/>
        <w:rPr>
          <w:rFonts w:ascii="Times New Roman" w:eastAsia="Times New Roman" w:hAnsi="Times New Roman" w:cs="Times New Roman"/>
          <w:b/>
          <w:bCs/>
          <w:sz w:val="24"/>
          <w:szCs w:val="24"/>
          <w:lang w:eastAsia="ar-SA"/>
        </w:rPr>
      </w:pPr>
      <w:r w:rsidRPr="006C7BDE">
        <w:rPr>
          <w:rFonts w:ascii="Times New Roman" w:hAnsi="Times New Roman" w:cs="Times New Roman"/>
          <w:bCs/>
          <w:sz w:val="24"/>
          <w:szCs w:val="24"/>
        </w:rPr>
        <w:t>…………………………………</w:t>
      </w:r>
    </w:p>
    <w:p w14:paraId="782F75AB" w14:textId="77777777" w:rsidR="003040F4" w:rsidRPr="006C7BDE" w:rsidRDefault="003040F4" w:rsidP="003040F4">
      <w:pPr>
        <w:spacing w:after="0"/>
        <w:rPr>
          <w:rFonts w:ascii="Times New Roman" w:eastAsia="Calibri" w:hAnsi="Times New Roman" w:cs="Times New Roman"/>
          <w:b/>
          <w:sz w:val="24"/>
          <w:szCs w:val="24"/>
        </w:rPr>
      </w:pPr>
    </w:p>
    <w:p w14:paraId="136089D0" w14:textId="77777777" w:rsidR="003040F4" w:rsidRDefault="003040F4" w:rsidP="003E12FD">
      <w:pPr>
        <w:spacing w:after="0"/>
        <w:jc w:val="both"/>
        <w:rPr>
          <w:rFonts w:ascii="Times New Roman" w:hAnsi="Times New Roman" w:cs="Times New Roman"/>
          <w:b/>
          <w:sz w:val="24"/>
          <w:szCs w:val="24"/>
        </w:rPr>
      </w:pPr>
      <w:bookmarkStart w:id="1" w:name="_Hlk87864418"/>
    </w:p>
    <w:p w14:paraId="4126EDB1" w14:textId="77777777" w:rsidR="003040F4" w:rsidRDefault="003040F4" w:rsidP="003E12FD">
      <w:pPr>
        <w:spacing w:after="0"/>
        <w:jc w:val="both"/>
        <w:rPr>
          <w:rFonts w:ascii="Times New Roman" w:hAnsi="Times New Roman" w:cs="Times New Roman"/>
          <w:b/>
          <w:sz w:val="24"/>
          <w:szCs w:val="24"/>
        </w:rPr>
      </w:pPr>
    </w:p>
    <w:p w14:paraId="173157A5" w14:textId="1F2E9C5B" w:rsidR="00C94159" w:rsidRPr="003040F4" w:rsidRDefault="00926359" w:rsidP="003E12FD">
      <w:pPr>
        <w:spacing w:after="0"/>
        <w:jc w:val="both"/>
        <w:rPr>
          <w:rFonts w:ascii="Times New Roman" w:hAnsi="Times New Roman" w:cs="Times New Roman"/>
          <w:b/>
          <w:sz w:val="32"/>
          <w:szCs w:val="32"/>
        </w:rPr>
      </w:pPr>
      <w:r w:rsidRPr="003040F4">
        <w:rPr>
          <w:rFonts w:ascii="Times New Roman" w:hAnsi="Times New Roman" w:cs="Times New Roman"/>
          <w:b/>
          <w:sz w:val="32"/>
          <w:szCs w:val="32"/>
        </w:rPr>
        <w:t>Námitky účastní</w:t>
      </w:r>
      <w:r w:rsidR="00442AAC" w:rsidRPr="003040F4">
        <w:rPr>
          <w:rFonts w:ascii="Times New Roman" w:hAnsi="Times New Roman" w:cs="Times New Roman"/>
          <w:b/>
          <w:sz w:val="32"/>
          <w:szCs w:val="32"/>
        </w:rPr>
        <w:t>k</w:t>
      </w:r>
      <w:r w:rsidR="003040F4">
        <w:rPr>
          <w:rFonts w:ascii="Times New Roman" w:hAnsi="Times New Roman" w:cs="Times New Roman"/>
          <w:b/>
          <w:sz w:val="32"/>
          <w:szCs w:val="32"/>
        </w:rPr>
        <w:t>a</w:t>
      </w:r>
      <w:r w:rsidRPr="003040F4">
        <w:rPr>
          <w:rFonts w:ascii="Times New Roman" w:hAnsi="Times New Roman" w:cs="Times New Roman"/>
          <w:b/>
          <w:sz w:val="32"/>
          <w:szCs w:val="32"/>
        </w:rPr>
        <w:t xml:space="preserve"> ř</w:t>
      </w:r>
      <w:r w:rsidR="00FA5A47" w:rsidRPr="003040F4">
        <w:rPr>
          <w:rFonts w:ascii="Times New Roman" w:hAnsi="Times New Roman" w:cs="Times New Roman"/>
          <w:b/>
          <w:sz w:val="32"/>
          <w:szCs w:val="32"/>
        </w:rPr>
        <w:t xml:space="preserve">ízení o žádosti o vydání rozhodnutí o umístění stavby </w:t>
      </w:r>
      <w:r w:rsidR="00FF23B6" w:rsidRPr="003040F4">
        <w:rPr>
          <w:rFonts w:ascii="Times New Roman" w:hAnsi="Times New Roman" w:cs="Times New Roman"/>
          <w:b/>
          <w:sz w:val="32"/>
          <w:szCs w:val="32"/>
        </w:rPr>
        <w:t xml:space="preserve">nazvané </w:t>
      </w:r>
      <w:bookmarkStart w:id="2" w:name="_Hlk170835728"/>
      <w:r w:rsidRPr="003040F4">
        <w:rPr>
          <w:rFonts w:ascii="Times New Roman" w:hAnsi="Times New Roman" w:cs="Times New Roman"/>
          <w:b/>
          <w:sz w:val="32"/>
          <w:szCs w:val="32"/>
        </w:rPr>
        <w:t>„</w:t>
      </w:r>
      <w:r w:rsidR="00664458" w:rsidRPr="003040F4">
        <w:rPr>
          <w:rFonts w:ascii="Times New Roman" w:hAnsi="Times New Roman" w:cs="Times New Roman"/>
          <w:b/>
          <w:sz w:val="32"/>
          <w:szCs w:val="32"/>
        </w:rPr>
        <w:t>D3 0301 - 0303 Praha – Václavice</w:t>
      </w:r>
      <w:r w:rsidRPr="003040F4">
        <w:rPr>
          <w:rFonts w:ascii="Times New Roman" w:hAnsi="Times New Roman" w:cs="Times New Roman"/>
          <w:b/>
          <w:sz w:val="32"/>
          <w:szCs w:val="32"/>
        </w:rPr>
        <w:t>“</w:t>
      </w:r>
      <w:bookmarkEnd w:id="2"/>
    </w:p>
    <w:bookmarkEnd w:id="1"/>
    <w:p w14:paraId="34353241" w14:textId="77777777" w:rsidR="00C94159" w:rsidRDefault="00C94159" w:rsidP="009602B5">
      <w:pPr>
        <w:spacing w:after="0"/>
        <w:jc w:val="both"/>
        <w:rPr>
          <w:rFonts w:ascii="Times New Roman" w:hAnsi="Times New Roman" w:cs="Times New Roman"/>
          <w:sz w:val="24"/>
          <w:szCs w:val="24"/>
        </w:rPr>
      </w:pPr>
    </w:p>
    <w:p w14:paraId="03100DD6" w14:textId="77777777" w:rsidR="003040F4" w:rsidRDefault="003040F4" w:rsidP="00527DD2">
      <w:pPr>
        <w:spacing w:after="0"/>
        <w:ind w:firstLine="708"/>
        <w:jc w:val="both"/>
        <w:rPr>
          <w:rFonts w:ascii="Times New Roman" w:hAnsi="Times New Roman" w:cs="Times New Roman"/>
          <w:sz w:val="24"/>
          <w:szCs w:val="24"/>
        </w:rPr>
      </w:pPr>
    </w:p>
    <w:p w14:paraId="157EE85D" w14:textId="77777777" w:rsidR="003040F4" w:rsidRPr="003040F4" w:rsidRDefault="003040F4" w:rsidP="00527DD2">
      <w:pPr>
        <w:spacing w:after="0"/>
        <w:ind w:firstLine="708"/>
        <w:jc w:val="both"/>
        <w:rPr>
          <w:rFonts w:ascii="Times New Roman" w:hAnsi="Times New Roman" w:cs="Times New Roman"/>
          <w:sz w:val="24"/>
          <w:szCs w:val="24"/>
        </w:rPr>
      </w:pPr>
    </w:p>
    <w:p w14:paraId="64BA6DEF" w14:textId="4BB17085" w:rsidR="00403695" w:rsidRPr="003040F4" w:rsidRDefault="00A865B8" w:rsidP="00527DD2">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 xml:space="preserve">Ředitelství silnic a dálnic ČR s.p., se sídlem Čerčanská 12, 140 00 PRAHA 4, </w:t>
      </w:r>
      <w:r w:rsidR="00DF72DD" w:rsidRPr="003040F4">
        <w:rPr>
          <w:rFonts w:ascii="Times New Roman" w:hAnsi="Times New Roman" w:cs="Times New Roman"/>
          <w:sz w:val="24"/>
          <w:szCs w:val="24"/>
        </w:rPr>
        <w:t>zastoupený</w:t>
      </w:r>
      <w:r w:rsidR="00926359" w:rsidRPr="003040F4">
        <w:rPr>
          <w:rFonts w:ascii="Times New Roman" w:hAnsi="Times New Roman" w:cs="Times New Roman"/>
          <w:sz w:val="24"/>
          <w:szCs w:val="24"/>
        </w:rPr>
        <w:t xml:space="preserve"> </w:t>
      </w:r>
      <w:r w:rsidR="00664458" w:rsidRPr="003040F4">
        <w:rPr>
          <w:rFonts w:ascii="Times New Roman" w:hAnsi="Times New Roman" w:cs="Times New Roman"/>
          <w:sz w:val="24"/>
          <w:szCs w:val="24"/>
        </w:rPr>
        <w:t xml:space="preserve">společností PRAGOPROJEKT, a.s., IČO: 45272387, se sídlem K Ryšánce 1668/16, 147 54 Praha </w:t>
      </w:r>
      <w:r w:rsidR="00DF72DD" w:rsidRPr="003040F4">
        <w:rPr>
          <w:rFonts w:ascii="Times New Roman" w:hAnsi="Times New Roman" w:cs="Times New Roman"/>
          <w:sz w:val="24"/>
          <w:szCs w:val="24"/>
        </w:rPr>
        <w:t xml:space="preserve">(dále jen „žadatel“), podal žádost o vydání územního rozhodnutí o umístění stavby s názvem </w:t>
      </w:r>
      <w:r w:rsidR="00926359" w:rsidRPr="003040F4">
        <w:rPr>
          <w:rFonts w:ascii="Times New Roman" w:hAnsi="Times New Roman" w:cs="Times New Roman"/>
          <w:sz w:val="24"/>
          <w:szCs w:val="24"/>
        </w:rPr>
        <w:t>„</w:t>
      </w:r>
      <w:r w:rsidR="00664458" w:rsidRPr="003040F4">
        <w:rPr>
          <w:rFonts w:ascii="Times New Roman" w:hAnsi="Times New Roman" w:cs="Times New Roman"/>
          <w:sz w:val="24"/>
          <w:szCs w:val="24"/>
        </w:rPr>
        <w:t>D3 0301 - 0303 Praha – Václavice</w:t>
      </w:r>
      <w:r w:rsidR="00926359" w:rsidRPr="003040F4">
        <w:rPr>
          <w:rFonts w:ascii="Times New Roman" w:hAnsi="Times New Roman" w:cs="Times New Roman"/>
          <w:sz w:val="24"/>
          <w:szCs w:val="24"/>
        </w:rPr>
        <w:t xml:space="preserve">“ </w:t>
      </w:r>
      <w:r w:rsidR="00DF72DD" w:rsidRPr="003040F4">
        <w:rPr>
          <w:rFonts w:ascii="Times New Roman" w:hAnsi="Times New Roman" w:cs="Times New Roman"/>
          <w:sz w:val="24"/>
          <w:szCs w:val="24"/>
        </w:rPr>
        <w:t>(dále jen „záměr“ nebo „stavba“).</w:t>
      </w:r>
    </w:p>
    <w:p w14:paraId="44EAD443" w14:textId="77777777" w:rsidR="00403695" w:rsidRPr="003040F4" w:rsidRDefault="00403695" w:rsidP="00527DD2">
      <w:pPr>
        <w:spacing w:after="0"/>
        <w:ind w:firstLine="708"/>
        <w:jc w:val="both"/>
        <w:rPr>
          <w:rFonts w:ascii="Times New Roman" w:hAnsi="Times New Roman" w:cs="Times New Roman"/>
          <w:sz w:val="24"/>
          <w:szCs w:val="24"/>
        </w:rPr>
      </w:pPr>
    </w:p>
    <w:p w14:paraId="5D3CE0B6" w14:textId="77777777" w:rsidR="003040F4" w:rsidRDefault="003040F4" w:rsidP="003040F4">
      <w:pPr>
        <w:spacing w:after="0"/>
        <w:ind w:firstLine="708"/>
        <w:jc w:val="both"/>
        <w:rPr>
          <w:rFonts w:ascii="Times New Roman" w:eastAsia="Calibri" w:hAnsi="Times New Roman" w:cs="Times New Roman"/>
          <w:bCs/>
          <w:kern w:val="24"/>
          <w:sz w:val="24"/>
          <w:szCs w:val="24"/>
        </w:rPr>
      </w:pPr>
      <w:r w:rsidRPr="006C7BDE">
        <w:rPr>
          <w:rFonts w:ascii="Times New Roman" w:eastAsia="Calibri" w:hAnsi="Times New Roman" w:cs="Times New Roman"/>
          <w:bCs/>
          <w:kern w:val="24"/>
          <w:sz w:val="24"/>
          <w:szCs w:val="24"/>
        </w:rPr>
        <w:t xml:space="preserve">Jako účastník předmětného řízení </w:t>
      </w:r>
      <w:r w:rsidRPr="006C7BDE">
        <w:rPr>
          <w:rFonts w:ascii="Times New Roman" w:eastAsia="Calibri" w:hAnsi="Times New Roman" w:cs="Times New Roman"/>
          <w:b/>
          <w:bCs/>
          <w:kern w:val="24"/>
          <w:sz w:val="24"/>
          <w:szCs w:val="24"/>
        </w:rPr>
        <w:t xml:space="preserve">s žádostí o vydání územního rozhodnutí shora nadepsaný účastník zásadně nesouhlasí </w:t>
      </w:r>
      <w:r w:rsidRPr="006C7BDE">
        <w:rPr>
          <w:rFonts w:ascii="Times New Roman" w:eastAsia="Calibri" w:hAnsi="Times New Roman" w:cs="Times New Roman"/>
          <w:bCs/>
          <w:kern w:val="24"/>
          <w:sz w:val="24"/>
          <w:szCs w:val="24"/>
        </w:rPr>
        <w:t>a podává k</w:t>
      </w:r>
      <w:r w:rsidRPr="006C7BDE">
        <w:rPr>
          <w:rFonts w:ascii="Times New Roman" w:eastAsia="Times New Roman" w:hAnsi="Times New Roman" w:cs="Times New Roman"/>
          <w:kern w:val="24"/>
          <w:sz w:val="24"/>
          <w:szCs w:val="24"/>
          <w:lang w:eastAsia="ar-SA"/>
        </w:rPr>
        <w:t xml:space="preserve"> výše uvedené žádosti tyto</w:t>
      </w:r>
      <w:r w:rsidRPr="006C7BDE">
        <w:rPr>
          <w:rFonts w:ascii="Times New Roman" w:eastAsia="Calibri" w:hAnsi="Times New Roman" w:cs="Times New Roman"/>
          <w:bCs/>
          <w:kern w:val="24"/>
          <w:sz w:val="24"/>
          <w:szCs w:val="24"/>
        </w:rPr>
        <w:t xml:space="preserve"> </w:t>
      </w:r>
    </w:p>
    <w:p w14:paraId="32F25288" w14:textId="77777777" w:rsidR="003040F4" w:rsidRDefault="003040F4" w:rsidP="003040F4">
      <w:pPr>
        <w:spacing w:after="0"/>
        <w:jc w:val="both"/>
        <w:rPr>
          <w:rFonts w:ascii="Times New Roman" w:eastAsia="Calibri" w:hAnsi="Times New Roman" w:cs="Times New Roman"/>
          <w:bCs/>
          <w:kern w:val="24"/>
          <w:sz w:val="24"/>
          <w:szCs w:val="24"/>
        </w:rPr>
      </w:pPr>
    </w:p>
    <w:p w14:paraId="61921C5A" w14:textId="03857BFD" w:rsidR="003040F4" w:rsidRPr="006C7BDE" w:rsidRDefault="003040F4" w:rsidP="003040F4">
      <w:pPr>
        <w:spacing w:after="0"/>
        <w:jc w:val="center"/>
        <w:rPr>
          <w:rFonts w:ascii="Times New Roman" w:eastAsia="Calibri" w:hAnsi="Times New Roman" w:cs="Times New Roman"/>
          <w:bCs/>
          <w:kern w:val="24"/>
          <w:sz w:val="24"/>
          <w:szCs w:val="24"/>
        </w:rPr>
      </w:pPr>
      <w:r w:rsidRPr="006C7BDE">
        <w:rPr>
          <w:rFonts w:ascii="Times New Roman" w:eastAsia="Times New Roman" w:hAnsi="Times New Roman" w:cs="Times New Roman"/>
          <w:b/>
          <w:kern w:val="24"/>
          <w:sz w:val="24"/>
          <w:szCs w:val="24"/>
          <w:lang w:eastAsia="ar-SA"/>
        </w:rPr>
        <w:t>námitky.</w:t>
      </w:r>
    </w:p>
    <w:p w14:paraId="3D568C93" w14:textId="77777777" w:rsidR="003040F4" w:rsidRPr="006C7BDE" w:rsidRDefault="003040F4" w:rsidP="003040F4">
      <w:pPr>
        <w:spacing w:after="0"/>
        <w:rPr>
          <w:rFonts w:ascii="Times New Roman" w:eastAsia="Times New Roman" w:hAnsi="Times New Roman" w:cs="Times New Roman"/>
          <w:b/>
          <w:bCs/>
          <w:kern w:val="24"/>
          <w:sz w:val="24"/>
          <w:szCs w:val="24"/>
          <w:lang w:eastAsia="ar-SA"/>
        </w:rPr>
      </w:pPr>
    </w:p>
    <w:p w14:paraId="77E288A3" w14:textId="77777777" w:rsidR="003040F4" w:rsidRDefault="003040F4" w:rsidP="003040F4">
      <w:pPr>
        <w:spacing w:after="0"/>
        <w:jc w:val="center"/>
        <w:rPr>
          <w:rFonts w:ascii="Times New Roman" w:eastAsia="Times New Roman" w:hAnsi="Times New Roman" w:cs="Times New Roman"/>
          <w:b/>
          <w:bCs/>
          <w:kern w:val="24"/>
          <w:sz w:val="24"/>
          <w:szCs w:val="24"/>
          <w:lang w:eastAsia="ar-SA"/>
        </w:rPr>
      </w:pPr>
    </w:p>
    <w:p w14:paraId="27329CCA" w14:textId="1554F909" w:rsidR="003040F4" w:rsidRPr="006C7BDE" w:rsidRDefault="003040F4" w:rsidP="003040F4">
      <w:pPr>
        <w:spacing w:after="0"/>
        <w:jc w:val="center"/>
        <w:rPr>
          <w:rFonts w:ascii="Times New Roman" w:eastAsia="Times New Roman" w:hAnsi="Times New Roman" w:cs="Times New Roman"/>
          <w:b/>
          <w:bCs/>
          <w:kern w:val="24"/>
          <w:sz w:val="24"/>
          <w:szCs w:val="24"/>
          <w:lang w:eastAsia="ar-SA"/>
        </w:rPr>
      </w:pPr>
      <w:r>
        <w:rPr>
          <w:rFonts w:ascii="Times New Roman" w:eastAsia="Times New Roman" w:hAnsi="Times New Roman" w:cs="Times New Roman"/>
          <w:b/>
          <w:bCs/>
          <w:kern w:val="24"/>
          <w:sz w:val="24"/>
          <w:szCs w:val="24"/>
          <w:lang w:eastAsia="ar-SA"/>
        </w:rPr>
        <w:t>D</w:t>
      </w:r>
      <w:r w:rsidRPr="006C7BDE">
        <w:rPr>
          <w:rFonts w:ascii="Times New Roman" w:eastAsia="Times New Roman" w:hAnsi="Times New Roman" w:cs="Times New Roman"/>
          <w:b/>
          <w:bCs/>
          <w:kern w:val="24"/>
          <w:sz w:val="24"/>
          <w:szCs w:val="24"/>
          <w:lang w:eastAsia="ar-SA"/>
        </w:rPr>
        <w:t>ůvody podání námitek</w:t>
      </w:r>
      <w:r>
        <w:rPr>
          <w:rFonts w:ascii="Times New Roman" w:eastAsia="Times New Roman" w:hAnsi="Times New Roman" w:cs="Times New Roman"/>
          <w:b/>
          <w:bCs/>
          <w:kern w:val="24"/>
          <w:sz w:val="24"/>
          <w:szCs w:val="24"/>
          <w:lang w:eastAsia="ar-SA"/>
        </w:rPr>
        <w:t>, s</w:t>
      </w:r>
      <w:r w:rsidRPr="003040F4">
        <w:rPr>
          <w:rFonts w:ascii="Times New Roman" w:eastAsia="Times New Roman" w:hAnsi="Times New Roman" w:cs="Times New Roman"/>
          <w:b/>
          <w:bCs/>
          <w:kern w:val="24"/>
          <w:sz w:val="24"/>
          <w:szCs w:val="24"/>
          <w:lang w:eastAsia="ar-SA"/>
        </w:rPr>
        <w:t>kutečnosti zakládající postavení účastníka,</w:t>
      </w:r>
    </w:p>
    <w:p w14:paraId="5BB5CB72" w14:textId="77777777" w:rsidR="003040F4" w:rsidRPr="006C7BDE" w:rsidRDefault="003040F4" w:rsidP="003040F4">
      <w:pPr>
        <w:spacing w:after="0"/>
        <w:jc w:val="both"/>
        <w:rPr>
          <w:rFonts w:ascii="Times New Roman" w:hAnsi="Times New Roman" w:cs="Times New Roman"/>
          <w:bCs/>
          <w:sz w:val="24"/>
          <w:szCs w:val="24"/>
          <w:shd w:val="clear" w:color="auto" w:fill="FFFFFF"/>
        </w:rPr>
      </w:pPr>
    </w:p>
    <w:p w14:paraId="684ABAFD" w14:textId="77777777" w:rsidR="003040F4" w:rsidRPr="006C7BDE" w:rsidRDefault="003040F4" w:rsidP="003040F4">
      <w:pPr>
        <w:spacing w:after="0"/>
        <w:ind w:firstLine="709"/>
        <w:jc w:val="both"/>
        <w:rPr>
          <w:rFonts w:ascii="Times New Roman" w:hAnsi="Times New Roman" w:cs="Times New Roman"/>
          <w:bCs/>
          <w:sz w:val="24"/>
          <w:szCs w:val="24"/>
        </w:rPr>
      </w:pPr>
      <w:r w:rsidRPr="006C7BDE">
        <w:rPr>
          <w:rFonts w:ascii="Times New Roman" w:hAnsi="Times New Roman" w:cs="Times New Roman"/>
          <w:bCs/>
          <w:sz w:val="24"/>
          <w:szCs w:val="24"/>
        </w:rPr>
        <w:t>Podatel těchto námitek je vlastníkem nemovitostí, které se nacházejí v blízkosti plánované stavby. Nemovitosti účastníka budou zasaženy jejími dopady, zejména imisemi hluku, znečištěného ovzduší a nadměrným dopravním zatížením v průběhu realizace i následného provozu.</w:t>
      </w:r>
    </w:p>
    <w:p w14:paraId="15F46F4D" w14:textId="77777777" w:rsidR="003040F4" w:rsidRPr="006C7BDE" w:rsidRDefault="003040F4" w:rsidP="003040F4">
      <w:pPr>
        <w:spacing w:after="0"/>
        <w:jc w:val="both"/>
        <w:rPr>
          <w:rFonts w:ascii="Times New Roman" w:hAnsi="Times New Roman" w:cs="Times New Roman"/>
          <w:bCs/>
          <w:sz w:val="24"/>
          <w:szCs w:val="24"/>
        </w:rPr>
      </w:pPr>
    </w:p>
    <w:p w14:paraId="5D5EAC52" w14:textId="77777777" w:rsidR="003040F4" w:rsidRPr="006C7BDE" w:rsidRDefault="003040F4" w:rsidP="003040F4">
      <w:pPr>
        <w:spacing w:after="0"/>
        <w:ind w:firstLine="709"/>
        <w:jc w:val="both"/>
        <w:rPr>
          <w:rFonts w:ascii="Times New Roman" w:hAnsi="Times New Roman" w:cs="Times New Roman"/>
          <w:bCs/>
          <w:sz w:val="24"/>
          <w:szCs w:val="24"/>
        </w:rPr>
      </w:pPr>
      <w:r w:rsidRPr="006C7BDE">
        <w:rPr>
          <w:rFonts w:ascii="Times New Roman" w:hAnsi="Times New Roman" w:cs="Times New Roman"/>
          <w:bCs/>
          <w:sz w:val="24"/>
          <w:szCs w:val="24"/>
        </w:rPr>
        <w:t xml:space="preserve">Stavba, tak jak je nyní v blízkosti nemovitostí účastníka řízení navržena, může mít významné negativní vlivy na existující zástavbu. Stavba tak svými vlivy může zásadně </w:t>
      </w:r>
      <w:r w:rsidRPr="006C7BDE">
        <w:rPr>
          <w:rFonts w:ascii="Times New Roman" w:hAnsi="Times New Roman" w:cs="Times New Roman"/>
          <w:bCs/>
          <w:sz w:val="24"/>
          <w:szCs w:val="24"/>
        </w:rPr>
        <w:lastRenderedPageBreak/>
        <w:t>zasáhnout do pohody bydlení účastníka řízení a dalších obyvatel obce, případné též zasáhnout do jeho zdraví a práva na příznivé životní prostředí, a to zejména zvýšeným hlukem a imisní zátěží, světelným smogem atd. v okolí stavby v důsledku dopravy, která bude po této komunikace vedena. Stavba je novostavbou pozemní komunikace, která bude v místě generovat zcela novou hlukovou a další zátěž. Stavba z důvodu svých negativních vlivů bude mít též negativní vliv též na tržní cenu nemovitostí účastníka řízení. Stavba bude znamenat zásah do jednotlivých složek životního prostředí, zejména ochrany přírody a krajiny, ochrany lesa, ochrany ZPF a ochrany podzemních a povrchových vod.</w:t>
      </w:r>
    </w:p>
    <w:p w14:paraId="1405AD58" w14:textId="77777777" w:rsidR="003040F4" w:rsidRPr="006C7BDE" w:rsidRDefault="003040F4" w:rsidP="003040F4">
      <w:pPr>
        <w:spacing w:after="0"/>
        <w:ind w:firstLine="709"/>
        <w:jc w:val="both"/>
        <w:rPr>
          <w:rFonts w:ascii="Times New Roman" w:hAnsi="Times New Roman" w:cs="Times New Roman"/>
          <w:bCs/>
          <w:sz w:val="24"/>
          <w:szCs w:val="24"/>
        </w:rPr>
      </w:pPr>
    </w:p>
    <w:p w14:paraId="38D7BD7F" w14:textId="77777777" w:rsidR="003040F4" w:rsidRPr="006C7BDE" w:rsidRDefault="003040F4" w:rsidP="003040F4">
      <w:pPr>
        <w:spacing w:after="0"/>
        <w:ind w:firstLine="709"/>
        <w:jc w:val="both"/>
        <w:rPr>
          <w:rFonts w:ascii="Times New Roman" w:eastAsia="Times New Roman" w:hAnsi="Times New Roman" w:cs="Times New Roman"/>
          <w:kern w:val="24"/>
          <w:sz w:val="24"/>
          <w:szCs w:val="24"/>
          <w:lang w:eastAsia="ar-SA"/>
        </w:rPr>
      </w:pPr>
      <w:r w:rsidRPr="006C7BDE">
        <w:rPr>
          <w:rFonts w:ascii="Times New Roman" w:eastAsia="Times New Roman" w:hAnsi="Times New Roman" w:cs="Times New Roman"/>
          <w:bCs/>
          <w:kern w:val="24"/>
          <w:sz w:val="24"/>
          <w:szCs w:val="24"/>
          <w:lang w:eastAsia="ar-SA"/>
        </w:rPr>
        <w:t xml:space="preserve">Námitky k žádosti </w:t>
      </w:r>
      <w:r w:rsidRPr="006C7BDE">
        <w:rPr>
          <w:rFonts w:ascii="Times New Roman" w:eastAsia="Times New Roman" w:hAnsi="Times New Roman" w:cs="Times New Roman"/>
          <w:kern w:val="24"/>
          <w:sz w:val="24"/>
          <w:szCs w:val="24"/>
          <w:lang w:eastAsia="ar-SA"/>
        </w:rPr>
        <w:t>žadatele podává účastník z důvodů nepřípustného zásahu do charakteru území (pohoda bydlení) a z důvodu obav o zvýšení hlukové a imisní zátěže v lokalitě. A to jak v době výstavby záměru stavby, tak po dobu jejího následného trvalého užívání, kdy dojde k významnému trvalému zvýšení dopravního zatížení lokality automobilovou dopravou. Námitky k žádosti o umístění stavby podává účastník též z důvodu obav o zhoršení dopravní bezpečnosti v lokalitě z důvodu zmíněného významného trvalého nárůstu osobní i nákladní automobilové dopravy v lokalitě. Námitky podává i z důvodu zásahu do práva na ochranu životního prostředí, zejména zásahu do krajinného rázu a ohrožení zájmů chráněných zákonem č. 114/1992 Sb., o ochraně přírody a krajiny, ve znění pozdějších předpisů (dále jen „ZOPK“).</w:t>
      </w:r>
    </w:p>
    <w:p w14:paraId="478D7146" w14:textId="77777777" w:rsidR="003040F4" w:rsidRPr="006C7BDE" w:rsidRDefault="003040F4" w:rsidP="003040F4">
      <w:pPr>
        <w:spacing w:after="0"/>
        <w:jc w:val="both"/>
        <w:rPr>
          <w:rFonts w:ascii="Times New Roman" w:hAnsi="Times New Roman" w:cs="Times New Roman"/>
          <w:bCs/>
          <w:sz w:val="24"/>
          <w:szCs w:val="24"/>
        </w:rPr>
      </w:pPr>
    </w:p>
    <w:p w14:paraId="183F76DB" w14:textId="77777777" w:rsidR="003040F4" w:rsidRPr="006C7BDE" w:rsidRDefault="003040F4" w:rsidP="003040F4">
      <w:pPr>
        <w:spacing w:after="0"/>
        <w:ind w:firstLine="709"/>
        <w:jc w:val="both"/>
        <w:rPr>
          <w:rFonts w:ascii="Times New Roman" w:hAnsi="Times New Roman" w:cs="Times New Roman"/>
          <w:bCs/>
          <w:sz w:val="24"/>
          <w:szCs w:val="24"/>
        </w:rPr>
      </w:pPr>
      <w:r w:rsidRPr="006C7BDE">
        <w:rPr>
          <w:rFonts w:ascii="Times New Roman" w:hAnsi="Times New Roman" w:cs="Times New Roman"/>
          <w:bCs/>
          <w:sz w:val="24"/>
          <w:szCs w:val="24"/>
        </w:rPr>
        <w:t>Z výše uvedených důvodu proto účastník řízení podává proti stavbě následující námitky.</w:t>
      </w:r>
    </w:p>
    <w:p w14:paraId="3AC4EA42" w14:textId="77777777" w:rsidR="00412E85" w:rsidRDefault="00412E85" w:rsidP="005165C4">
      <w:pPr>
        <w:spacing w:after="0"/>
        <w:rPr>
          <w:rFonts w:ascii="Times New Roman" w:eastAsia="Times New Roman" w:hAnsi="Times New Roman" w:cs="Times New Roman"/>
          <w:b/>
          <w:bCs/>
          <w:kern w:val="24"/>
          <w:sz w:val="24"/>
          <w:szCs w:val="24"/>
          <w:lang w:eastAsia="ar-SA"/>
        </w:rPr>
      </w:pPr>
    </w:p>
    <w:p w14:paraId="20244AF0" w14:textId="77777777" w:rsidR="003040F4" w:rsidRPr="003040F4" w:rsidRDefault="003040F4" w:rsidP="005165C4">
      <w:pPr>
        <w:spacing w:after="0"/>
        <w:rPr>
          <w:rFonts w:ascii="Times New Roman" w:eastAsia="Times New Roman" w:hAnsi="Times New Roman" w:cs="Times New Roman"/>
          <w:b/>
          <w:bCs/>
          <w:kern w:val="24"/>
          <w:sz w:val="24"/>
          <w:szCs w:val="24"/>
          <w:lang w:eastAsia="ar-SA"/>
        </w:rPr>
      </w:pPr>
    </w:p>
    <w:p w14:paraId="55C20325" w14:textId="071318AB" w:rsidR="00616EB1" w:rsidRPr="003040F4" w:rsidRDefault="00616EB1" w:rsidP="00304F2A">
      <w:pPr>
        <w:autoSpaceDE w:val="0"/>
        <w:autoSpaceDN w:val="0"/>
        <w:adjustRightInd w:val="0"/>
        <w:spacing w:after="0"/>
        <w:jc w:val="center"/>
        <w:rPr>
          <w:rFonts w:ascii="Times New Roman" w:eastAsia="Times New Roman" w:hAnsi="Times New Roman" w:cs="Times New Roman"/>
          <w:b/>
          <w:kern w:val="24"/>
          <w:sz w:val="24"/>
          <w:szCs w:val="24"/>
          <w:lang w:eastAsia="cs-CZ"/>
        </w:rPr>
      </w:pPr>
      <w:r w:rsidRPr="003040F4">
        <w:rPr>
          <w:rFonts w:ascii="Times New Roman" w:eastAsia="Times New Roman" w:hAnsi="Times New Roman" w:cs="Times New Roman"/>
          <w:b/>
          <w:kern w:val="24"/>
          <w:sz w:val="24"/>
          <w:szCs w:val="24"/>
          <w:lang w:eastAsia="cs-CZ"/>
        </w:rPr>
        <w:t>Námitky proti umístění záměru</w:t>
      </w:r>
    </w:p>
    <w:p w14:paraId="7E2C7B56" w14:textId="77777777" w:rsidR="00616EB1" w:rsidRPr="003040F4" w:rsidRDefault="00616EB1" w:rsidP="00616EB1">
      <w:pPr>
        <w:autoSpaceDE w:val="0"/>
        <w:autoSpaceDN w:val="0"/>
        <w:adjustRightInd w:val="0"/>
        <w:spacing w:after="0"/>
        <w:jc w:val="center"/>
        <w:rPr>
          <w:rFonts w:ascii="Times New Roman" w:eastAsia="Times New Roman" w:hAnsi="Times New Roman" w:cs="Times New Roman"/>
          <w:b/>
          <w:kern w:val="24"/>
          <w:sz w:val="24"/>
          <w:szCs w:val="24"/>
          <w:lang w:eastAsia="cs-CZ"/>
        </w:rPr>
      </w:pPr>
    </w:p>
    <w:p w14:paraId="5EE84FAA" w14:textId="58BBFF2E" w:rsidR="003040F4" w:rsidRPr="00C169C2" w:rsidRDefault="003040F4" w:rsidP="00C169C2">
      <w:pPr>
        <w:widowControl w:val="0"/>
        <w:suppressAutoHyphens/>
        <w:autoSpaceDE w:val="0"/>
        <w:autoSpaceDN w:val="0"/>
        <w:adjustRightInd w:val="0"/>
        <w:spacing w:after="0"/>
        <w:jc w:val="both"/>
        <w:rPr>
          <w:rFonts w:ascii="Times New Roman" w:eastAsia="Times New Roman" w:hAnsi="Times New Roman" w:cs="Times New Roman"/>
          <w:b/>
          <w:kern w:val="24"/>
          <w:sz w:val="24"/>
          <w:szCs w:val="24"/>
          <w:lang w:eastAsia="cs-CZ"/>
        </w:rPr>
      </w:pPr>
      <w:r w:rsidRPr="00C169C2">
        <w:rPr>
          <w:rFonts w:ascii="Times New Roman" w:eastAsia="Times New Roman" w:hAnsi="Times New Roman" w:cs="Times New Roman"/>
          <w:b/>
          <w:kern w:val="24"/>
          <w:sz w:val="24"/>
          <w:szCs w:val="24"/>
          <w:lang w:eastAsia="cs-CZ"/>
        </w:rPr>
        <w:t>Zásah do pohody bydlení</w:t>
      </w:r>
    </w:p>
    <w:p w14:paraId="11451B94" w14:textId="77777777" w:rsidR="003040F4" w:rsidRPr="006C7BDE" w:rsidRDefault="003040F4" w:rsidP="003040F4">
      <w:pPr>
        <w:widowControl w:val="0"/>
        <w:suppressAutoHyphens/>
        <w:autoSpaceDE w:val="0"/>
        <w:autoSpaceDN w:val="0"/>
        <w:adjustRightInd w:val="0"/>
        <w:spacing w:after="0"/>
        <w:jc w:val="both"/>
        <w:rPr>
          <w:rFonts w:ascii="Times New Roman" w:eastAsia="Times New Roman" w:hAnsi="Times New Roman" w:cs="Times New Roman"/>
          <w:b/>
          <w:kern w:val="24"/>
          <w:sz w:val="24"/>
          <w:szCs w:val="24"/>
          <w:lang w:eastAsia="cs-CZ"/>
        </w:rPr>
      </w:pPr>
    </w:p>
    <w:p w14:paraId="233FC90B" w14:textId="77777777" w:rsidR="003040F4" w:rsidRPr="006C7BDE" w:rsidRDefault="003040F4" w:rsidP="003040F4">
      <w:pPr>
        <w:widowControl w:val="0"/>
        <w:suppressAutoHyphens/>
        <w:autoSpaceDE w:val="0"/>
        <w:autoSpaceDN w:val="0"/>
        <w:adjustRightInd w:val="0"/>
        <w:spacing w:after="0"/>
        <w:ind w:firstLine="709"/>
        <w:jc w:val="both"/>
        <w:rPr>
          <w:rFonts w:ascii="Times New Roman" w:eastAsia="Times New Roman" w:hAnsi="Times New Roman" w:cs="Times New Roman"/>
          <w:bCs/>
          <w:kern w:val="24"/>
          <w:sz w:val="24"/>
          <w:szCs w:val="24"/>
          <w:lang w:eastAsia="cs-CZ"/>
        </w:rPr>
      </w:pPr>
      <w:r w:rsidRPr="006C7BDE">
        <w:rPr>
          <w:rFonts w:ascii="Times New Roman" w:eastAsia="Times New Roman" w:hAnsi="Times New Roman" w:cs="Times New Roman"/>
          <w:bCs/>
          <w:kern w:val="24"/>
          <w:sz w:val="24"/>
          <w:szCs w:val="24"/>
          <w:lang w:eastAsia="cs-CZ"/>
        </w:rPr>
        <w:t>Umístění staveb musí odpovídat urbanistickému a architektonickému charakteru prostředí a požadavkům na zachování pohody bydlení a zdravého životního prostředí.</w:t>
      </w:r>
      <w:r>
        <w:rPr>
          <w:rFonts w:ascii="Times New Roman" w:eastAsia="Times New Roman" w:hAnsi="Times New Roman" w:cs="Times New Roman"/>
          <w:bCs/>
          <w:kern w:val="24"/>
          <w:sz w:val="24"/>
          <w:szCs w:val="24"/>
          <w:lang w:eastAsia="cs-CZ"/>
        </w:rPr>
        <w:t xml:space="preserve"> </w:t>
      </w:r>
      <w:r w:rsidRPr="006C7BDE">
        <w:rPr>
          <w:rFonts w:ascii="Times New Roman" w:eastAsia="Times New Roman" w:hAnsi="Times New Roman" w:cs="Times New Roman"/>
          <w:bCs/>
          <w:kern w:val="24"/>
          <w:sz w:val="24"/>
          <w:szCs w:val="24"/>
          <w:lang w:eastAsia="cs-CZ"/>
        </w:rPr>
        <w:t xml:space="preserve">Předmětná stavba je navržena zcela novou stopou v relativně nedotčeném prostředí, kde nejsou ani zdroje, ani cíle dopravy. </w:t>
      </w:r>
    </w:p>
    <w:p w14:paraId="61108163" w14:textId="77777777" w:rsidR="003040F4" w:rsidRPr="006C7BDE" w:rsidRDefault="003040F4" w:rsidP="003040F4">
      <w:pPr>
        <w:widowControl w:val="0"/>
        <w:suppressAutoHyphens/>
        <w:autoSpaceDE w:val="0"/>
        <w:autoSpaceDN w:val="0"/>
        <w:adjustRightInd w:val="0"/>
        <w:spacing w:after="0"/>
        <w:ind w:firstLine="709"/>
        <w:jc w:val="both"/>
        <w:rPr>
          <w:rFonts w:ascii="Times New Roman" w:eastAsia="Times New Roman" w:hAnsi="Times New Roman" w:cs="Times New Roman"/>
          <w:bCs/>
          <w:kern w:val="24"/>
          <w:sz w:val="24"/>
          <w:szCs w:val="24"/>
          <w:lang w:eastAsia="cs-CZ"/>
        </w:rPr>
      </w:pPr>
    </w:p>
    <w:p w14:paraId="51409D5D" w14:textId="77777777" w:rsidR="003040F4" w:rsidRPr="006C7BDE" w:rsidRDefault="003040F4" w:rsidP="003040F4">
      <w:pPr>
        <w:widowControl w:val="0"/>
        <w:suppressAutoHyphens/>
        <w:autoSpaceDE w:val="0"/>
        <w:autoSpaceDN w:val="0"/>
        <w:adjustRightInd w:val="0"/>
        <w:spacing w:after="0"/>
        <w:ind w:firstLine="709"/>
        <w:jc w:val="both"/>
        <w:rPr>
          <w:rFonts w:ascii="Times New Roman" w:eastAsia="Times New Roman" w:hAnsi="Times New Roman" w:cs="Times New Roman"/>
          <w:bCs/>
          <w:kern w:val="24"/>
          <w:sz w:val="24"/>
          <w:szCs w:val="24"/>
          <w:lang w:eastAsia="cs-CZ"/>
        </w:rPr>
      </w:pPr>
      <w:r w:rsidRPr="006C7BDE">
        <w:rPr>
          <w:rFonts w:ascii="Times New Roman" w:eastAsia="Times New Roman" w:hAnsi="Times New Roman" w:cs="Times New Roman"/>
          <w:bCs/>
          <w:kern w:val="24"/>
          <w:sz w:val="24"/>
          <w:szCs w:val="24"/>
          <w:lang w:eastAsia="cs-CZ"/>
        </w:rPr>
        <w:t xml:space="preserve">Umístění navrhované stavby bude v důsledku enormního nárůstu individuální automobilové dopravy a všech jejích důsledků (viz ostatní námitkové body) znamenat nepřípustný zásah do práva účastníků řízení na zachování pohody bydlení. Nejvyšší správní soudu ve své konstantní judikatuře (např. rozsudek Nejvyššího správního soudu č.j. 8 As 27/2012 – 113 nebo č.j. 2 As 44/2005) definuje pohodu bydlení jako </w:t>
      </w:r>
      <w:r w:rsidRPr="006C7BDE">
        <w:rPr>
          <w:rFonts w:ascii="Times New Roman" w:eastAsia="Times New Roman" w:hAnsi="Times New Roman" w:cs="Times New Roman"/>
          <w:bCs/>
          <w:i/>
          <w:iCs/>
          <w:kern w:val="24"/>
          <w:sz w:val="24"/>
          <w:szCs w:val="24"/>
          <w:lang w:eastAsia="cs-CZ"/>
        </w:rPr>
        <w:t>„souhrn činitelů a vlivů, které přispívají k tomu, aby bydlení bylo zdravé a vhodné pro všechny kategorie uživatelů, resp. aby byla vytvořena vhodná atmosféra klidného bydlení; pohoda bydlení je v tomto pojetí dána zejména kvalitou jednotlivých složek životního prostředí, např. nízkou hladinou hluku (z dopravy, výroby, zábavních podniků, ze stavebních prací aj.), čistotou ovzduší, přiměřeným množstvím zeleně, nízkými emisemi pachů a prachu, osluněním apod.; pro zabezpečení pohody bydlení se pak zkoumá intenzita narušení jednotlivých činitelů a jeho důsledky, tedy objektivně existující souhrn činitelů a vlivů, které se posuzují každý jednotlivě a všechny ve vzájemných souvislostech“</w:t>
      </w:r>
      <w:r w:rsidRPr="006C7BDE">
        <w:rPr>
          <w:rFonts w:ascii="Times New Roman" w:eastAsia="Times New Roman" w:hAnsi="Times New Roman" w:cs="Times New Roman"/>
          <w:bCs/>
          <w:kern w:val="24"/>
          <w:sz w:val="24"/>
          <w:szCs w:val="24"/>
          <w:lang w:eastAsia="cs-CZ"/>
        </w:rPr>
        <w:t>.</w:t>
      </w:r>
    </w:p>
    <w:p w14:paraId="36E1CFED" w14:textId="77777777" w:rsidR="003040F4" w:rsidRPr="006C7BDE" w:rsidRDefault="003040F4" w:rsidP="003040F4">
      <w:pPr>
        <w:widowControl w:val="0"/>
        <w:suppressAutoHyphens/>
        <w:autoSpaceDE w:val="0"/>
        <w:autoSpaceDN w:val="0"/>
        <w:adjustRightInd w:val="0"/>
        <w:spacing w:after="0"/>
        <w:ind w:firstLine="709"/>
        <w:jc w:val="both"/>
        <w:rPr>
          <w:rFonts w:ascii="Times New Roman" w:eastAsia="Times New Roman" w:hAnsi="Times New Roman" w:cs="Times New Roman"/>
          <w:bCs/>
          <w:kern w:val="24"/>
          <w:sz w:val="24"/>
          <w:szCs w:val="24"/>
          <w:lang w:eastAsia="cs-CZ"/>
        </w:rPr>
      </w:pPr>
    </w:p>
    <w:p w14:paraId="0FF29A75" w14:textId="77777777" w:rsidR="003040F4" w:rsidRPr="006C7BDE" w:rsidRDefault="003040F4" w:rsidP="003040F4">
      <w:pPr>
        <w:widowControl w:val="0"/>
        <w:suppressAutoHyphens/>
        <w:autoSpaceDE w:val="0"/>
        <w:autoSpaceDN w:val="0"/>
        <w:adjustRightInd w:val="0"/>
        <w:spacing w:after="0"/>
        <w:ind w:firstLine="709"/>
        <w:jc w:val="both"/>
        <w:rPr>
          <w:rFonts w:ascii="Times New Roman" w:eastAsia="Times New Roman" w:hAnsi="Times New Roman" w:cs="Times New Roman"/>
          <w:bCs/>
          <w:kern w:val="24"/>
          <w:sz w:val="24"/>
          <w:szCs w:val="24"/>
          <w:lang w:eastAsia="cs-CZ"/>
        </w:rPr>
      </w:pPr>
      <w:r w:rsidRPr="006C7BDE">
        <w:rPr>
          <w:rFonts w:ascii="Times New Roman" w:eastAsia="Times New Roman" w:hAnsi="Times New Roman" w:cs="Times New Roman"/>
          <w:bCs/>
          <w:kern w:val="24"/>
          <w:sz w:val="24"/>
          <w:szCs w:val="24"/>
          <w:lang w:eastAsia="cs-CZ"/>
        </w:rPr>
        <w:t xml:space="preserve">Současně je podle názoru NSS dle uvedeného rozhodnutí třeba přihlížet i k subjektivním </w:t>
      </w:r>
      <w:r w:rsidRPr="006C7BDE">
        <w:rPr>
          <w:rFonts w:ascii="Times New Roman" w:eastAsia="Times New Roman" w:hAnsi="Times New Roman" w:cs="Times New Roman"/>
          <w:bCs/>
          <w:kern w:val="24"/>
          <w:sz w:val="24"/>
          <w:szCs w:val="24"/>
          <w:lang w:eastAsia="cs-CZ"/>
        </w:rPr>
        <w:lastRenderedPageBreak/>
        <w:t>hlediskům daným způsobem života osob, jichž se má stavba dotýkat, pokud tyto subjektivní nároky na pohodu bydlení nevybočují v podstatné míře od obecných standardů se zohledněním místních zvláštností dané lokality, a také k případné památkové ochraně území.</w:t>
      </w:r>
    </w:p>
    <w:p w14:paraId="691C286F" w14:textId="77777777" w:rsidR="003040F4" w:rsidRPr="006C7BDE" w:rsidRDefault="003040F4" w:rsidP="003040F4">
      <w:pPr>
        <w:widowControl w:val="0"/>
        <w:suppressAutoHyphens/>
        <w:autoSpaceDE w:val="0"/>
        <w:autoSpaceDN w:val="0"/>
        <w:adjustRightInd w:val="0"/>
        <w:spacing w:after="0"/>
        <w:ind w:firstLine="709"/>
        <w:jc w:val="both"/>
        <w:rPr>
          <w:rFonts w:ascii="Times New Roman" w:eastAsia="Times New Roman" w:hAnsi="Times New Roman" w:cs="Times New Roman"/>
          <w:bCs/>
          <w:kern w:val="24"/>
          <w:sz w:val="24"/>
          <w:szCs w:val="24"/>
          <w:lang w:eastAsia="cs-CZ"/>
        </w:rPr>
      </w:pPr>
    </w:p>
    <w:p w14:paraId="7848116C" w14:textId="77777777" w:rsidR="003040F4" w:rsidRPr="006C7BDE" w:rsidRDefault="003040F4" w:rsidP="003040F4">
      <w:pPr>
        <w:widowControl w:val="0"/>
        <w:suppressAutoHyphens/>
        <w:autoSpaceDE w:val="0"/>
        <w:autoSpaceDN w:val="0"/>
        <w:adjustRightInd w:val="0"/>
        <w:spacing w:after="0"/>
        <w:ind w:firstLine="709"/>
        <w:jc w:val="both"/>
        <w:rPr>
          <w:rFonts w:ascii="Times New Roman" w:eastAsia="Times New Roman" w:hAnsi="Times New Roman" w:cs="Times New Roman"/>
          <w:bCs/>
          <w:kern w:val="24"/>
          <w:sz w:val="24"/>
          <w:szCs w:val="24"/>
          <w:lang w:eastAsia="cs-CZ"/>
        </w:rPr>
      </w:pPr>
      <w:r w:rsidRPr="006C7BDE">
        <w:rPr>
          <w:rFonts w:ascii="Times New Roman" w:eastAsia="Times New Roman" w:hAnsi="Times New Roman" w:cs="Times New Roman"/>
          <w:bCs/>
          <w:kern w:val="24"/>
          <w:sz w:val="24"/>
          <w:szCs w:val="24"/>
          <w:lang w:eastAsia="cs-CZ"/>
        </w:rPr>
        <w:t xml:space="preserve">Stavba a její trvalý provoz přinesou významný nárůst dopravní zátěže, zanikne volná zelená plocha, orná půda nejvyšší kvality (značná část orné má být znehodnocena jak na stavbu, tak na terénní úpravy spočívající ve výstavbě „protihlukových“ valů, dojde k zásahu místních zdrojů pitné vody. </w:t>
      </w:r>
    </w:p>
    <w:p w14:paraId="7FD15A09" w14:textId="77777777" w:rsidR="003040F4" w:rsidRPr="006C7BDE" w:rsidRDefault="003040F4" w:rsidP="003040F4">
      <w:pPr>
        <w:spacing w:after="0"/>
        <w:ind w:firstLine="708"/>
        <w:jc w:val="both"/>
        <w:rPr>
          <w:rFonts w:ascii="Times New Roman" w:hAnsi="Times New Roman" w:cs="Times New Roman"/>
          <w:sz w:val="24"/>
          <w:szCs w:val="24"/>
        </w:rPr>
      </w:pPr>
    </w:p>
    <w:p w14:paraId="1D780A93" w14:textId="77777777" w:rsidR="003040F4" w:rsidRPr="006C7BDE" w:rsidRDefault="003040F4" w:rsidP="003040F4">
      <w:pPr>
        <w:spacing w:after="0"/>
        <w:ind w:firstLine="708"/>
        <w:jc w:val="both"/>
        <w:rPr>
          <w:rFonts w:ascii="Times New Roman" w:hAnsi="Times New Roman" w:cs="Times New Roman"/>
          <w:sz w:val="24"/>
          <w:szCs w:val="24"/>
        </w:rPr>
      </w:pPr>
      <w:r w:rsidRPr="006C7BDE">
        <w:rPr>
          <w:rFonts w:ascii="Times New Roman" w:hAnsi="Times New Roman" w:cs="Times New Roman"/>
          <w:sz w:val="24"/>
          <w:szCs w:val="24"/>
        </w:rPr>
        <w:t>Podle dopravně inženýrských podkladů, které jsou součástí dokumentace pro územní rozhodnutí (DUR) pro stavbu dálnice D3 je na souvisejících pozemních komunikacích, zejména komunikacích, které budou sloužit jako přivaděče, předpokládán významný nárůst dopravy po zprovoznění dálnice D3.</w:t>
      </w:r>
    </w:p>
    <w:p w14:paraId="213A7442" w14:textId="77777777" w:rsidR="003040F4" w:rsidRPr="006C7BDE" w:rsidRDefault="003040F4" w:rsidP="003040F4">
      <w:pPr>
        <w:spacing w:after="0"/>
        <w:ind w:firstLine="357"/>
        <w:jc w:val="both"/>
        <w:rPr>
          <w:rFonts w:ascii="Times New Roman" w:hAnsi="Times New Roman" w:cs="Times New Roman"/>
          <w:sz w:val="24"/>
          <w:szCs w:val="24"/>
        </w:rPr>
      </w:pPr>
    </w:p>
    <w:p w14:paraId="5A8ACD0F" w14:textId="77777777" w:rsidR="003040F4" w:rsidRDefault="003040F4" w:rsidP="003040F4">
      <w:pPr>
        <w:suppressAutoHyphens/>
        <w:spacing w:after="0"/>
        <w:ind w:firstLine="708"/>
        <w:jc w:val="both"/>
        <w:rPr>
          <w:rFonts w:ascii="Times New Roman" w:hAnsi="Times New Roman" w:cs="Times New Roman"/>
          <w:sz w:val="24"/>
          <w:szCs w:val="24"/>
        </w:rPr>
      </w:pPr>
      <w:r w:rsidRPr="006C7BDE">
        <w:rPr>
          <w:rFonts w:ascii="Times New Roman" w:hAnsi="Times New Roman" w:cs="Times New Roman"/>
          <w:sz w:val="24"/>
          <w:szCs w:val="24"/>
        </w:rPr>
        <w:t xml:space="preserve">Rozptylové a hlukové studie jednoznačně ukazují na zvýšenou zátěž a mnohdy i kolizi záměru s hygienickými limity, neboť dálnice je naplánována v těsné blízkosti obcí nebo obce leží v zóně ovlivněné spadem emisí a hluku. Zpracovatel dokumentace dospěl k závěru, že v některých úsecích ani navrhované protihlukové stěny nesníží předpokládanou hladinu hluku pod platné hygienické limity. Obdobně je tomu v případě vibrací v souvislosti se stavbou i provozem dálnice. Negativní vliv na zdraví obyvatel a kvalitu jejich života - prašnost, rušivé světlo, omezení pohybu v krajině, škodliviny z dopravního provozu a průvodních staveb, kontaminace vody a půdy aj. Trvalé zatížení hlukem i přes protihluková opatření. </w:t>
      </w:r>
    </w:p>
    <w:p w14:paraId="32FBF4A2" w14:textId="77777777" w:rsidR="003040F4" w:rsidRDefault="003040F4" w:rsidP="003040F4">
      <w:pPr>
        <w:suppressAutoHyphens/>
        <w:spacing w:after="0"/>
        <w:ind w:firstLine="708"/>
        <w:jc w:val="both"/>
        <w:rPr>
          <w:rFonts w:ascii="Times New Roman" w:hAnsi="Times New Roman" w:cs="Times New Roman"/>
          <w:sz w:val="24"/>
          <w:szCs w:val="24"/>
        </w:rPr>
      </w:pPr>
    </w:p>
    <w:p w14:paraId="3694DCAE" w14:textId="0A7D3931" w:rsid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sidRPr="006C7BDE">
        <w:rPr>
          <w:rFonts w:ascii="Times New Roman" w:eastAsia="Times New Roman" w:hAnsi="Times New Roman" w:cs="Times New Roman"/>
          <w:bCs/>
          <w:kern w:val="24"/>
          <w:sz w:val="24"/>
          <w:szCs w:val="24"/>
          <w:lang w:eastAsia="cs-CZ"/>
        </w:rPr>
        <w:t xml:space="preserve">V důsledku podstatného navýšení hluku působeného provozem dané stavby v rozsáhlých obytných oblastech Středočeského kraje dojde k podstatnému a míru přiměřenou poměrům překračujícímu zhoršení kvality prostředí a hodnoty území zasaženého hlukem v důsledku užívání dané stavby, a tedy umístění této stavby </w:t>
      </w:r>
      <w:r w:rsidRPr="003040F4">
        <w:rPr>
          <w:rFonts w:ascii="Times New Roman" w:eastAsia="Times New Roman" w:hAnsi="Times New Roman" w:cs="Times New Roman"/>
          <w:bCs/>
          <w:kern w:val="24"/>
          <w:sz w:val="24"/>
          <w:szCs w:val="24"/>
          <w:lang w:eastAsia="cs-CZ"/>
        </w:rPr>
        <w:t>nemůže být přípustné.</w:t>
      </w:r>
    </w:p>
    <w:p w14:paraId="71E264D5" w14:textId="77777777" w:rsidR="00C169C2" w:rsidRDefault="00C169C2"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p>
    <w:p w14:paraId="490E5EF1" w14:textId="77777777" w:rsidR="00C169C2" w:rsidRPr="00C169C2" w:rsidRDefault="00C169C2" w:rsidP="00C169C2">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sidRPr="00C169C2">
        <w:rPr>
          <w:rFonts w:ascii="Times New Roman" w:eastAsia="Times New Roman" w:hAnsi="Times New Roman" w:cs="Times New Roman"/>
          <w:bCs/>
          <w:kern w:val="24"/>
          <w:sz w:val="24"/>
          <w:szCs w:val="24"/>
          <w:lang w:eastAsia="cs-CZ"/>
        </w:rPr>
        <w:t>Rozptylová studie založená do spisu není relevantním podkladem pro vydání územního rozhodnutí. Předmětem RS je cit. „</w:t>
      </w:r>
      <w:r w:rsidRPr="00C169C2">
        <w:rPr>
          <w:rFonts w:ascii="Times New Roman" w:eastAsia="Times New Roman" w:hAnsi="Times New Roman" w:cs="Times New Roman"/>
          <w:bCs/>
          <w:i/>
          <w:iCs/>
          <w:kern w:val="24"/>
          <w:sz w:val="24"/>
          <w:szCs w:val="24"/>
          <w:lang w:eastAsia="cs-CZ"/>
        </w:rPr>
        <w:t>Předmětem plnění je vypracování rozptylové studie pro novostavbu plánované dálnice D3 0301 – 0303 Praha – Václavice v okolí MÚK Hostěradice. Novostavba řešeného je navržená se šířkou vozovky 27,5 m v návrhové kategorii D 27,5/120. Studie slouží jako příloha projektové dokumentace pro posouzení možných vlivů záměru na životní prostředí v okolí MÚK Hostěradice.</w:t>
      </w:r>
      <w:r w:rsidRPr="00C169C2">
        <w:rPr>
          <w:rFonts w:ascii="Times New Roman" w:eastAsia="Times New Roman" w:hAnsi="Times New Roman" w:cs="Times New Roman"/>
          <w:bCs/>
          <w:kern w:val="24"/>
          <w:sz w:val="24"/>
          <w:szCs w:val="24"/>
          <w:lang w:eastAsia="cs-CZ"/>
        </w:rPr>
        <w:t>“.</w:t>
      </w:r>
    </w:p>
    <w:p w14:paraId="475D1DFD" w14:textId="77777777" w:rsidR="00C169C2" w:rsidRPr="00C169C2" w:rsidRDefault="00C169C2" w:rsidP="00C169C2">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p>
    <w:p w14:paraId="4E5E5AB9" w14:textId="1F93D8CE" w:rsidR="00C169C2" w:rsidRDefault="00C169C2" w:rsidP="00C169C2">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Pr>
          <w:rFonts w:ascii="Times New Roman" w:eastAsia="Times New Roman" w:hAnsi="Times New Roman" w:cs="Times New Roman"/>
          <w:bCs/>
          <w:kern w:val="24"/>
          <w:sz w:val="24"/>
          <w:szCs w:val="24"/>
          <w:lang w:eastAsia="cs-CZ"/>
        </w:rPr>
        <w:t xml:space="preserve">Účastník řízení </w:t>
      </w:r>
      <w:r w:rsidRPr="00C169C2">
        <w:rPr>
          <w:rFonts w:ascii="Times New Roman" w:eastAsia="Times New Roman" w:hAnsi="Times New Roman" w:cs="Times New Roman"/>
          <w:bCs/>
          <w:kern w:val="24"/>
          <w:sz w:val="24"/>
          <w:szCs w:val="24"/>
          <w:lang w:eastAsia="cs-CZ"/>
        </w:rPr>
        <w:t>požaduje zpracovat řádnou a aktuální rozptylovou studii, která posoudí vliv záměru na</w:t>
      </w:r>
      <w:r>
        <w:rPr>
          <w:rFonts w:ascii="Times New Roman" w:eastAsia="Times New Roman" w:hAnsi="Times New Roman" w:cs="Times New Roman"/>
          <w:bCs/>
          <w:kern w:val="24"/>
          <w:sz w:val="24"/>
          <w:szCs w:val="24"/>
          <w:lang w:eastAsia="cs-CZ"/>
        </w:rPr>
        <w:t xml:space="preserve"> jednotlivé obce a jejich obyvatele</w:t>
      </w:r>
      <w:r w:rsidRPr="00C169C2">
        <w:rPr>
          <w:rFonts w:ascii="Times New Roman" w:eastAsia="Times New Roman" w:hAnsi="Times New Roman" w:cs="Times New Roman"/>
          <w:bCs/>
          <w:kern w:val="24"/>
          <w:sz w:val="24"/>
          <w:szCs w:val="24"/>
          <w:lang w:eastAsia="cs-CZ"/>
        </w:rPr>
        <w:t xml:space="preserve">, se zohledněním kumulativních a synergických vlivů </w:t>
      </w:r>
      <w:r>
        <w:rPr>
          <w:rFonts w:ascii="Times New Roman" w:eastAsia="Times New Roman" w:hAnsi="Times New Roman" w:cs="Times New Roman"/>
          <w:bCs/>
          <w:kern w:val="24"/>
          <w:sz w:val="24"/>
          <w:szCs w:val="24"/>
          <w:lang w:eastAsia="cs-CZ"/>
        </w:rPr>
        <w:t xml:space="preserve"> s dalšími záměry, zejména záměrem dálnice </w:t>
      </w:r>
      <w:r w:rsidRPr="00C169C2">
        <w:rPr>
          <w:rFonts w:ascii="Times New Roman" w:eastAsia="Times New Roman" w:hAnsi="Times New Roman" w:cs="Times New Roman"/>
          <w:bCs/>
          <w:kern w:val="24"/>
          <w:sz w:val="24"/>
          <w:szCs w:val="24"/>
          <w:lang w:eastAsia="cs-CZ"/>
        </w:rPr>
        <w:t>D0</w:t>
      </w:r>
      <w:r>
        <w:rPr>
          <w:rFonts w:ascii="Times New Roman" w:eastAsia="Times New Roman" w:hAnsi="Times New Roman" w:cs="Times New Roman"/>
          <w:bCs/>
          <w:kern w:val="24"/>
          <w:sz w:val="24"/>
          <w:szCs w:val="24"/>
          <w:lang w:eastAsia="cs-CZ"/>
        </w:rPr>
        <w:t xml:space="preserve"> (Pražský okruh) při napojení u Jesenice.</w:t>
      </w:r>
    </w:p>
    <w:p w14:paraId="277C5D1A" w14:textId="77777777" w:rsid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p>
    <w:p w14:paraId="4672F0E0" w14:textId="77777777" w:rsidR="003040F4" w:rsidRPr="003040F4" w:rsidRDefault="003040F4" w:rsidP="003040F4">
      <w:pPr>
        <w:spacing w:after="0"/>
        <w:ind w:firstLine="708"/>
        <w:jc w:val="both"/>
        <w:rPr>
          <w:rFonts w:ascii="Times New Roman" w:eastAsia="Times New Roman" w:hAnsi="Times New Roman" w:cs="Times New Roman"/>
          <w:color w:val="000000"/>
          <w:sz w:val="24"/>
          <w:szCs w:val="24"/>
          <w:lang w:eastAsia="cs-CZ"/>
        </w:rPr>
      </w:pPr>
      <w:r w:rsidRPr="003040F4">
        <w:rPr>
          <w:rFonts w:ascii="Times New Roman" w:eastAsia="Times New Roman" w:hAnsi="Times New Roman" w:cs="Times New Roman"/>
          <w:color w:val="000000"/>
          <w:sz w:val="24"/>
          <w:szCs w:val="24"/>
          <w:lang w:eastAsia="cs-CZ"/>
        </w:rPr>
        <w:t>Dokumentace neobsahuje posouzení a vyhodnocení vlivů stavby a provozu dálnice D3 (včetně návrhu zmírňujících opatření), které lze označit za vlivy nepřímé, doprovodné. Především se to týká posouzení surovinových zdrojů potřebných pro realizaci záměru, zejména kamene potřebného pro stavbu, lomů, kde se bude těžit a hlavních dopravních cest transportu této suroviny na stavbu. Absence tohoto posouzení je nepřijatelná zejména z důvodu, že se jedná pouze o silnice II. a III. třídy, procházející skrz obce a nevyhovující pro přepravu těžkých nákladů takového objemu.</w:t>
      </w:r>
    </w:p>
    <w:p w14:paraId="11718AF1" w14:textId="77777777" w:rsidR="003040F4" w:rsidRPr="003040F4" w:rsidRDefault="003040F4" w:rsidP="003040F4">
      <w:pPr>
        <w:suppressAutoHyphens/>
        <w:spacing w:after="0"/>
        <w:jc w:val="both"/>
        <w:rPr>
          <w:rFonts w:ascii="Times New Roman" w:hAnsi="Times New Roman" w:cs="Times New Roman"/>
          <w:sz w:val="24"/>
          <w:szCs w:val="24"/>
        </w:rPr>
      </w:pPr>
    </w:p>
    <w:p w14:paraId="13ADC449" w14:textId="4AA9FC23" w:rsid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sidRPr="003040F4">
        <w:rPr>
          <w:rFonts w:ascii="Times New Roman" w:eastAsia="Times New Roman" w:hAnsi="Times New Roman" w:cs="Times New Roman"/>
          <w:bCs/>
          <w:kern w:val="24"/>
          <w:sz w:val="24"/>
          <w:szCs w:val="24"/>
          <w:lang w:eastAsia="cs-CZ"/>
        </w:rPr>
        <w:t>Podle ustanovení § 11 zákona č. 17/1992 Sb., o životním prostředí, ve znění pozdějších předpisů, nesmí být území zatěžováno lidskou činností nad míru únosného zatížení. Podle ustanovení § 12 odst. 1 téhož zákona určují přípustnou míru znečišťování životního prostředí mezní hodnoty stanovené zvláštními předpisy; tyto hodnoty se stanoví v souladu s dosaženým stavem poznání tak, aby nebylo ohrožováno zdraví lidí a aby nebyly ohrožovány další živé organismy a ostatní složky životního prostředí. Podle odst. 2 téhož ustanovení musejí být mezní hodnoty stanoveny s přihlédnutím k možnému kumulativnímu působení nebo spolupůsobení znečišťujících látek a činností. Ustanovení § 13 zákona č. 17/1992 Sb. stanoví, že lze-li se zřetelem ke všem okolnostem předpokládat, že hrozí nebezpečí nevratného nebo závažného poškození životního prostředí, nesmí být pochybnost o tom, že k takovému poškození skutečně dojde, důvodem pro odklad opatření, jež mají poškození zabránit.</w:t>
      </w:r>
    </w:p>
    <w:p w14:paraId="16C3FD25" w14:textId="77777777" w:rsid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p>
    <w:p w14:paraId="4D5718FC" w14:textId="0DDA70BC" w:rsidR="003040F4" w:rsidRPr="00C169C2" w:rsidRDefault="003040F4" w:rsidP="00C169C2">
      <w:pPr>
        <w:widowControl w:val="0"/>
        <w:suppressAutoHyphens/>
        <w:autoSpaceDE w:val="0"/>
        <w:autoSpaceDN w:val="0"/>
        <w:adjustRightInd w:val="0"/>
        <w:spacing w:after="0"/>
        <w:jc w:val="both"/>
        <w:rPr>
          <w:rFonts w:ascii="Times New Roman" w:eastAsia="Times New Roman" w:hAnsi="Times New Roman" w:cs="Times New Roman"/>
          <w:b/>
          <w:kern w:val="24"/>
          <w:sz w:val="24"/>
          <w:szCs w:val="24"/>
          <w:lang w:eastAsia="cs-CZ"/>
        </w:rPr>
      </w:pPr>
      <w:r w:rsidRPr="00C169C2">
        <w:rPr>
          <w:rFonts w:ascii="Times New Roman" w:eastAsia="Times New Roman" w:hAnsi="Times New Roman" w:cs="Times New Roman"/>
          <w:b/>
          <w:kern w:val="24"/>
          <w:sz w:val="24"/>
          <w:szCs w:val="24"/>
          <w:lang w:eastAsia="cs-CZ"/>
        </w:rPr>
        <w:t>Nepřiměřený hluk a imise do ovzduší</w:t>
      </w:r>
    </w:p>
    <w:p w14:paraId="21665B15" w14:textId="77777777" w:rsidR="003040F4" w:rsidRPr="003040F4" w:rsidRDefault="003040F4" w:rsidP="003040F4">
      <w:pPr>
        <w:pStyle w:val="Odstavecseseznamem"/>
        <w:widowControl w:val="0"/>
        <w:suppressAutoHyphens/>
        <w:autoSpaceDE w:val="0"/>
        <w:autoSpaceDN w:val="0"/>
        <w:adjustRightInd w:val="0"/>
        <w:spacing w:after="0"/>
        <w:ind w:left="357"/>
        <w:jc w:val="both"/>
        <w:rPr>
          <w:rFonts w:ascii="Times New Roman" w:eastAsia="Times New Roman" w:hAnsi="Times New Roman" w:cs="Times New Roman"/>
          <w:b/>
          <w:kern w:val="24"/>
          <w:sz w:val="24"/>
          <w:szCs w:val="24"/>
          <w:lang w:eastAsia="cs-CZ"/>
        </w:rPr>
      </w:pPr>
    </w:p>
    <w:p w14:paraId="6EC0FECE" w14:textId="77777777" w:rsidR="003040F4" w:rsidRP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sidRPr="003040F4">
        <w:rPr>
          <w:rFonts w:ascii="Times New Roman" w:eastAsia="Times New Roman" w:hAnsi="Times New Roman" w:cs="Times New Roman"/>
          <w:bCs/>
          <w:kern w:val="24"/>
          <w:sz w:val="24"/>
          <w:szCs w:val="24"/>
          <w:lang w:eastAsia="cs-CZ"/>
        </w:rPr>
        <w:t>V důsledku podstatného navýšení hluku působeného provozem dané stavby v rozsáhlých obytných oblastech Středočeského kraje - viz výčet katastrálních území přímo dotčených daným záměrem uvedený v oznámení stavebního úřadu dojde k podstatnému a míru přiměřenou poměrům překračujícímu zhoršení kvality prostředí a hodnoty území zasaženého hlukem v důsledku užívání dané stavby, a tedy umístění této stavby nemůže být přípustné.</w:t>
      </w:r>
    </w:p>
    <w:p w14:paraId="7CFC1E4B" w14:textId="77777777" w:rsidR="003040F4" w:rsidRPr="003040F4" w:rsidRDefault="003040F4" w:rsidP="003040F4">
      <w:pPr>
        <w:widowControl w:val="0"/>
        <w:suppressAutoHyphens/>
        <w:autoSpaceDE w:val="0"/>
        <w:autoSpaceDN w:val="0"/>
        <w:adjustRightInd w:val="0"/>
        <w:spacing w:after="0"/>
        <w:jc w:val="both"/>
        <w:rPr>
          <w:rFonts w:ascii="Times New Roman" w:eastAsia="Times New Roman" w:hAnsi="Times New Roman" w:cs="Times New Roman"/>
          <w:bCs/>
          <w:kern w:val="24"/>
          <w:sz w:val="24"/>
          <w:szCs w:val="24"/>
          <w:lang w:eastAsia="cs-CZ"/>
        </w:rPr>
      </w:pPr>
    </w:p>
    <w:p w14:paraId="6F230E04" w14:textId="77777777" w:rsidR="003040F4" w:rsidRP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sidRPr="003040F4">
        <w:rPr>
          <w:rFonts w:ascii="Times New Roman" w:eastAsia="Times New Roman" w:hAnsi="Times New Roman" w:cs="Times New Roman"/>
          <w:bCs/>
          <w:kern w:val="24"/>
          <w:sz w:val="24"/>
          <w:szCs w:val="24"/>
          <w:lang w:eastAsia="cs-CZ"/>
        </w:rPr>
        <w:t>Podle § 20 odst. 1 vyhlášky č. 501/2006 Sb. je v souladu s cíli a úkoly územního plánování a s ohledem na souvislosti a charakter území obecným požadavkem jen takové umisťování staveb, které nezhoršuje kvalitu prostředí a hodnotu území; tento požadavek navrhovaný záměr nesplňuje. Nelze kvůli zbytnému záměru výstavby dálnice D3 ve Středočeském kraji zhoršit kvalitu prostředí a hodnotu území v podstatné části kraje. V této souvislosti je nutno poukázat i na čl. 35 odst. 3 Listiny základních práv a svobod, podle kterého při výkonu práv nikdo nesmí ohrožovat ani poškozovat životní prostředí nad míru stanovenou zákonem. Nelze tedy umístit záměr, který zhorší již stávající nadlimitní hlukovou zátěž v daných obytných územích jednotlivých obcí.</w:t>
      </w:r>
    </w:p>
    <w:p w14:paraId="2EDDA983" w14:textId="77777777" w:rsidR="003040F4" w:rsidRPr="003040F4" w:rsidRDefault="003040F4" w:rsidP="003040F4">
      <w:pPr>
        <w:widowControl w:val="0"/>
        <w:suppressAutoHyphens/>
        <w:autoSpaceDE w:val="0"/>
        <w:autoSpaceDN w:val="0"/>
        <w:adjustRightInd w:val="0"/>
        <w:spacing w:after="0"/>
        <w:jc w:val="both"/>
        <w:rPr>
          <w:rFonts w:ascii="Times New Roman" w:eastAsia="Times New Roman" w:hAnsi="Times New Roman" w:cs="Times New Roman"/>
          <w:bCs/>
          <w:kern w:val="24"/>
          <w:sz w:val="24"/>
          <w:szCs w:val="24"/>
          <w:lang w:eastAsia="cs-CZ"/>
        </w:rPr>
      </w:pPr>
    </w:p>
    <w:p w14:paraId="08BCDC63" w14:textId="77777777" w:rsidR="003040F4" w:rsidRP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sidRPr="003040F4">
        <w:rPr>
          <w:rFonts w:ascii="Times New Roman" w:eastAsia="Times New Roman" w:hAnsi="Times New Roman" w:cs="Times New Roman"/>
          <w:bCs/>
          <w:kern w:val="24"/>
          <w:sz w:val="24"/>
          <w:szCs w:val="24"/>
          <w:lang w:eastAsia="cs-CZ"/>
        </w:rPr>
        <w:t xml:space="preserve">Je známou skutečností, že hluk způsobuje při hodnotách blížících se hygienickým limitům nebo tyto hygienické limity dokonce přesahující výrazné obtěžování obyvatel, spojené nejen s pocity nespokojenosti a snížením pohody bydlení, ale v případě dlouhodobého působení i se zvýšeným rizikem poškození zdraví, zejména zvýšeným rizikem kardiovaskulárních onemocnění. </w:t>
      </w:r>
    </w:p>
    <w:p w14:paraId="505F749E" w14:textId="77777777" w:rsidR="003040F4" w:rsidRP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p>
    <w:p w14:paraId="7909A324" w14:textId="77777777" w:rsidR="003040F4" w:rsidRP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sidRPr="003040F4">
        <w:rPr>
          <w:rFonts w:ascii="Times New Roman" w:eastAsia="Times New Roman" w:hAnsi="Times New Roman" w:cs="Times New Roman"/>
          <w:bCs/>
          <w:kern w:val="24"/>
          <w:sz w:val="24"/>
          <w:szCs w:val="24"/>
          <w:lang w:eastAsia="cs-CZ"/>
        </w:rPr>
        <w:t>Podkladem žádosti je hluková studie D3 0301-0303 PRAHA – VÁCLAVICE, ZMĚNA DUR 11/2024, HLUKOVÁ STUDIE, zpracoval PRAGOPROJEKT, a.s., Ateliér Ostrava, Těšínská 42/96, 710 00 Ostrava – Slezská Ostrava.</w:t>
      </w:r>
      <w:r w:rsidRPr="003040F4">
        <w:rPr>
          <w:rFonts w:ascii="Times New Roman" w:hAnsi="Times New Roman" w:cs="Times New Roman"/>
          <w:sz w:val="24"/>
          <w:szCs w:val="24"/>
        </w:rPr>
        <w:t xml:space="preserve"> </w:t>
      </w:r>
      <w:r w:rsidRPr="003040F4">
        <w:rPr>
          <w:rFonts w:ascii="Times New Roman" w:eastAsia="Times New Roman" w:hAnsi="Times New Roman" w:cs="Times New Roman"/>
          <w:bCs/>
          <w:kern w:val="24"/>
          <w:sz w:val="24"/>
          <w:szCs w:val="24"/>
          <w:lang w:eastAsia="cs-CZ"/>
        </w:rPr>
        <w:t>V posuzované HS nejsou uvedeny nezbytné kvalitativní, ani kvantitativní parametry pro zpracování studie v rozsahu, který by zaručoval kontrolu publikovaných výsledků nezávisle na zpracovateli studie.</w:t>
      </w:r>
      <w:r w:rsidRPr="003040F4">
        <w:rPr>
          <w:rFonts w:ascii="Times New Roman" w:hAnsi="Times New Roman" w:cs="Times New Roman"/>
          <w:sz w:val="24"/>
          <w:szCs w:val="24"/>
        </w:rPr>
        <w:t xml:space="preserve"> </w:t>
      </w:r>
      <w:r w:rsidRPr="003040F4">
        <w:rPr>
          <w:rFonts w:ascii="Times New Roman" w:eastAsia="Times New Roman" w:hAnsi="Times New Roman" w:cs="Times New Roman"/>
          <w:bCs/>
          <w:kern w:val="24"/>
          <w:sz w:val="24"/>
          <w:szCs w:val="24"/>
          <w:lang w:eastAsia="cs-CZ"/>
        </w:rPr>
        <w:t>Předložená studie, resp. její výsledky nelze ověřit nezávislým výpočtem, je zásadní nedostatek studie, proto není možné posuzovanou studii akceptovat. Zpracovatel studie není k této činnosti akreditován se všemi z tohoto faktu vyplývajícími důsledky.</w:t>
      </w:r>
      <w:r w:rsidRPr="003040F4">
        <w:rPr>
          <w:rFonts w:ascii="Times New Roman" w:hAnsi="Times New Roman" w:cs="Times New Roman"/>
          <w:sz w:val="24"/>
          <w:szCs w:val="24"/>
        </w:rPr>
        <w:t xml:space="preserve"> </w:t>
      </w:r>
    </w:p>
    <w:p w14:paraId="01C4A2CE" w14:textId="77777777" w:rsidR="003040F4" w:rsidRPr="003040F4" w:rsidRDefault="003040F4" w:rsidP="003040F4">
      <w:pPr>
        <w:widowControl w:val="0"/>
        <w:suppressAutoHyphens/>
        <w:autoSpaceDE w:val="0"/>
        <w:autoSpaceDN w:val="0"/>
        <w:adjustRightInd w:val="0"/>
        <w:spacing w:after="0"/>
        <w:ind w:firstLine="708"/>
        <w:jc w:val="both"/>
        <w:rPr>
          <w:rFonts w:ascii="Times New Roman" w:hAnsi="Times New Roman" w:cs="Times New Roman"/>
          <w:sz w:val="24"/>
          <w:szCs w:val="24"/>
        </w:rPr>
      </w:pPr>
    </w:p>
    <w:p w14:paraId="6FA65CB9" w14:textId="77777777" w:rsidR="003040F4" w:rsidRP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sidRPr="003040F4">
        <w:rPr>
          <w:rFonts w:ascii="Times New Roman" w:hAnsi="Times New Roman" w:cs="Times New Roman"/>
          <w:sz w:val="24"/>
          <w:szCs w:val="24"/>
        </w:rPr>
        <w:t xml:space="preserve">Studie </w:t>
      </w:r>
      <w:r w:rsidRPr="003040F4">
        <w:rPr>
          <w:rFonts w:ascii="Times New Roman" w:eastAsia="Times New Roman" w:hAnsi="Times New Roman" w:cs="Times New Roman"/>
          <w:bCs/>
          <w:kern w:val="24"/>
          <w:sz w:val="24"/>
          <w:szCs w:val="24"/>
          <w:lang w:eastAsia="cs-CZ"/>
        </w:rPr>
        <w:t xml:space="preserve">postrádá popis použité metody kalibrace výpočetního modelu, případně ověření </w:t>
      </w:r>
      <w:r w:rsidRPr="003040F4">
        <w:rPr>
          <w:rFonts w:ascii="Times New Roman" w:eastAsia="Times New Roman" w:hAnsi="Times New Roman" w:cs="Times New Roman"/>
          <w:bCs/>
          <w:kern w:val="24"/>
          <w:sz w:val="24"/>
          <w:szCs w:val="24"/>
          <w:lang w:eastAsia="cs-CZ"/>
        </w:rPr>
        <w:lastRenderedPageBreak/>
        <w:t>správnosti zvoleného teoretického řešení porovnáním s výsledky měření hluku na modelovém případu.</w:t>
      </w:r>
      <w:r w:rsidRPr="003040F4">
        <w:rPr>
          <w:rFonts w:ascii="Times New Roman" w:hAnsi="Times New Roman" w:cs="Times New Roman"/>
          <w:sz w:val="24"/>
          <w:szCs w:val="24"/>
        </w:rPr>
        <w:t xml:space="preserve"> </w:t>
      </w:r>
      <w:r w:rsidRPr="003040F4">
        <w:rPr>
          <w:rFonts w:ascii="Times New Roman" w:eastAsia="Times New Roman" w:hAnsi="Times New Roman" w:cs="Times New Roman"/>
          <w:bCs/>
          <w:kern w:val="24"/>
          <w:sz w:val="24"/>
          <w:szCs w:val="24"/>
          <w:lang w:eastAsia="cs-CZ"/>
        </w:rPr>
        <w:t>Metodika výpočtu je uvedena velice stručně – prakticky je vyloučena reprodukovatelnost výpočtů (případně s využitím jiného matematicko-fyzikálního modelu pro šíření hluku). Neuvedení konkrétních vstupních údajů se jeví jako účelové, což není možné v žádném případě akceptovat.</w:t>
      </w:r>
      <w:r w:rsidRPr="003040F4">
        <w:rPr>
          <w:rFonts w:ascii="Times New Roman" w:hAnsi="Times New Roman" w:cs="Times New Roman"/>
          <w:sz w:val="24"/>
          <w:szCs w:val="24"/>
        </w:rPr>
        <w:t xml:space="preserve"> </w:t>
      </w:r>
      <w:r w:rsidRPr="003040F4">
        <w:rPr>
          <w:rFonts w:ascii="Times New Roman" w:eastAsia="Times New Roman" w:hAnsi="Times New Roman" w:cs="Times New Roman"/>
          <w:bCs/>
          <w:kern w:val="24"/>
          <w:sz w:val="24"/>
          <w:szCs w:val="24"/>
          <w:lang w:eastAsia="cs-CZ"/>
        </w:rPr>
        <w:t>Veškeré vstupní údaje jsou omezeny na intenzitu dopravy pro r. 2030 pro r. 2050 „z dopravního modelu společnosti AFRY CZ s.r.o. (04/2024)“. Předpokládané intenzity dopravy jsou prezentovány na kartogramech pro úseky komunikací s rozdělením do příslušných kategorií vozidel. Dále se uvádí, „nejvyšší dovolená rychlost 130 km/h“ a to, že povrch vozovky bude asfaltový koberec mastixový. Ve druhé části „vstupních údajů“ jsou uvedeny výpočtové body (jejich přehled v tabulce a adresy). To je z hlediska „vstupů“ pro studii zcela nedostatečné.</w:t>
      </w:r>
    </w:p>
    <w:p w14:paraId="5C4025A3" w14:textId="77777777" w:rsidR="003040F4" w:rsidRP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p>
    <w:p w14:paraId="23F0B582" w14:textId="77777777" w:rsidR="003040F4" w:rsidRP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sidRPr="003040F4">
        <w:rPr>
          <w:rFonts w:ascii="Times New Roman" w:eastAsia="Times New Roman" w:hAnsi="Times New Roman" w:cs="Times New Roman"/>
          <w:bCs/>
          <w:kern w:val="24"/>
          <w:sz w:val="24"/>
          <w:szCs w:val="24"/>
          <w:lang w:eastAsia="cs-CZ"/>
        </w:rPr>
        <w:t>V části „7 Závěr“ se uvádí, že bylo nutné „nutné navrhnout protihluková opatření ve formě protihlukových stěn a protihlukových valů“, a že díky tomu je hygienický limit hluku splněn. Bohužel se již neuvádí geneze tohoto navržení a kvalitativní parametry stěn a valů. Čtenář se může domnívat, že si tyto stěny a valy autoři „vycucali z prstu“, jen aby to dopadlo dobře (byl splněn legislativou stanovaný hlukový limit).</w:t>
      </w:r>
    </w:p>
    <w:p w14:paraId="64700727" w14:textId="77777777" w:rsidR="003040F4" w:rsidRP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p>
    <w:p w14:paraId="38CF5596" w14:textId="77777777" w:rsidR="003040F4" w:rsidRP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sidRPr="003040F4">
        <w:rPr>
          <w:rFonts w:ascii="Times New Roman" w:eastAsia="Times New Roman" w:hAnsi="Times New Roman" w:cs="Times New Roman"/>
          <w:bCs/>
          <w:kern w:val="24"/>
          <w:sz w:val="24"/>
          <w:szCs w:val="24"/>
          <w:lang w:eastAsia="cs-CZ"/>
        </w:rPr>
        <w:t>Z výkresů přiložených ke studii je patrné, že není uvažován vliv odrazů akustické energie pro stanovení hlukové zátěže. Pro chráněné prostory však je tato skutečnost velice důležitá. Ověření výsledků výpočtu (ani modelově) přímým měřením nebylo provedeno. To je závažná chyba, zejména s ohledem na finanční náklady plánované investice.</w:t>
      </w:r>
    </w:p>
    <w:p w14:paraId="05131CFC" w14:textId="77777777" w:rsidR="003040F4" w:rsidRPr="003040F4" w:rsidRDefault="003040F4" w:rsidP="003040F4">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p>
    <w:p w14:paraId="21507A87" w14:textId="24172B07" w:rsidR="00442AAC" w:rsidRDefault="003040F4" w:rsidP="00C169C2">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r w:rsidRPr="003040F4">
        <w:rPr>
          <w:rFonts w:ascii="Times New Roman" w:eastAsia="Times New Roman" w:hAnsi="Times New Roman" w:cs="Times New Roman"/>
          <w:bCs/>
          <w:kern w:val="24"/>
          <w:sz w:val="24"/>
          <w:szCs w:val="24"/>
          <w:lang w:eastAsia="cs-CZ"/>
        </w:rPr>
        <w:t>Dokument B. SOUHRNNÁ TECHNICKÁ ZPRÁVA (změna 07.2024), Příloha: B.2.6 Základní technický popis staveb, obsahuje protihluková opatření např. na straně 118 aplikace nízkohlučného asfaltu. Tuto skutečnost však samotná hluková studie, např. v Hostěradicích, vůbec nezmiňuje) dále protihlukové stěny – viz str. 111 až 115 a zemní valy – str. 115 až 117. Účastníci tedy namítají vnitřní rozpor mezi podklady pro vydání rozhodnutí.</w:t>
      </w:r>
    </w:p>
    <w:p w14:paraId="02C939F9" w14:textId="77777777" w:rsidR="00C169C2" w:rsidRPr="00C169C2" w:rsidRDefault="00C169C2" w:rsidP="00C169C2">
      <w:pPr>
        <w:widowControl w:val="0"/>
        <w:suppressAutoHyphens/>
        <w:autoSpaceDE w:val="0"/>
        <w:autoSpaceDN w:val="0"/>
        <w:adjustRightInd w:val="0"/>
        <w:spacing w:after="0"/>
        <w:ind w:firstLine="708"/>
        <w:jc w:val="both"/>
        <w:rPr>
          <w:rFonts w:ascii="Times New Roman" w:eastAsia="Times New Roman" w:hAnsi="Times New Roman" w:cs="Times New Roman"/>
          <w:bCs/>
          <w:kern w:val="24"/>
          <w:sz w:val="24"/>
          <w:szCs w:val="24"/>
          <w:lang w:eastAsia="cs-CZ"/>
        </w:rPr>
      </w:pPr>
    </w:p>
    <w:p w14:paraId="1171217B" w14:textId="5B51F124" w:rsidR="00616EB1" w:rsidRPr="00C169C2" w:rsidRDefault="003040F4" w:rsidP="00C169C2">
      <w:pPr>
        <w:widowControl w:val="0"/>
        <w:suppressAutoHyphens/>
        <w:autoSpaceDE w:val="0"/>
        <w:autoSpaceDN w:val="0"/>
        <w:adjustRightInd w:val="0"/>
        <w:spacing w:after="0"/>
        <w:jc w:val="both"/>
        <w:rPr>
          <w:rFonts w:ascii="Times New Roman" w:eastAsia="Times New Roman" w:hAnsi="Times New Roman" w:cs="Times New Roman"/>
          <w:b/>
          <w:kern w:val="24"/>
          <w:sz w:val="24"/>
          <w:szCs w:val="24"/>
          <w:lang w:eastAsia="cs-CZ"/>
        </w:rPr>
      </w:pPr>
      <w:r w:rsidRPr="00C169C2">
        <w:rPr>
          <w:rFonts w:ascii="Times New Roman" w:eastAsia="Times New Roman" w:hAnsi="Times New Roman" w:cs="Times New Roman"/>
          <w:b/>
          <w:kern w:val="24"/>
          <w:sz w:val="24"/>
          <w:szCs w:val="24"/>
          <w:lang w:eastAsia="cs-CZ"/>
        </w:rPr>
        <w:t>N</w:t>
      </w:r>
      <w:r w:rsidR="00616EB1" w:rsidRPr="00C169C2">
        <w:rPr>
          <w:rFonts w:ascii="Times New Roman" w:eastAsia="Times New Roman" w:hAnsi="Times New Roman" w:cs="Times New Roman"/>
          <w:b/>
          <w:kern w:val="24"/>
          <w:sz w:val="24"/>
          <w:szCs w:val="24"/>
          <w:lang w:eastAsia="cs-CZ"/>
        </w:rPr>
        <w:t>epotřebnost</w:t>
      </w:r>
      <w:r w:rsidRPr="00C169C2">
        <w:rPr>
          <w:rFonts w:ascii="Times New Roman" w:eastAsia="Times New Roman" w:hAnsi="Times New Roman" w:cs="Times New Roman"/>
          <w:b/>
          <w:kern w:val="24"/>
          <w:sz w:val="24"/>
          <w:szCs w:val="24"/>
          <w:lang w:eastAsia="cs-CZ"/>
        </w:rPr>
        <w:t>, zbytečnost</w:t>
      </w:r>
      <w:r w:rsidR="00616EB1" w:rsidRPr="00C169C2">
        <w:rPr>
          <w:rFonts w:ascii="Times New Roman" w:eastAsia="Times New Roman" w:hAnsi="Times New Roman" w:cs="Times New Roman"/>
          <w:b/>
          <w:kern w:val="24"/>
          <w:sz w:val="24"/>
          <w:szCs w:val="24"/>
          <w:lang w:eastAsia="cs-CZ"/>
        </w:rPr>
        <w:t xml:space="preserve"> stavby</w:t>
      </w:r>
      <w:r w:rsidRPr="00C169C2">
        <w:rPr>
          <w:rFonts w:ascii="Times New Roman" w:eastAsia="Times New Roman" w:hAnsi="Times New Roman" w:cs="Times New Roman"/>
          <w:b/>
          <w:kern w:val="24"/>
          <w:sz w:val="24"/>
          <w:szCs w:val="24"/>
          <w:lang w:eastAsia="cs-CZ"/>
        </w:rPr>
        <w:t>, nepřiměřené náklady na výstavbu a provoz</w:t>
      </w:r>
    </w:p>
    <w:p w14:paraId="26DCBA7B" w14:textId="77777777" w:rsidR="00616EB1" w:rsidRPr="003040F4" w:rsidRDefault="00616EB1" w:rsidP="00616EB1">
      <w:pPr>
        <w:pStyle w:val="Odstavecseseznamem"/>
        <w:widowControl w:val="0"/>
        <w:suppressAutoHyphens/>
        <w:autoSpaceDE w:val="0"/>
        <w:autoSpaceDN w:val="0"/>
        <w:adjustRightInd w:val="0"/>
        <w:spacing w:after="0" w:line="240" w:lineRule="auto"/>
        <w:ind w:left="1069"/>
        <w:jc w:val="both"/>
        <w:rPr>
          <w:rFonts w:ascii="Times New Roman" w:eastAsia="Times New Roman" w:hAnsi="Times New Roman" w:cs="Times New Roman"/>
          <w:b/>
          <w:kern w:val="24"/>
          <w:sz w:val="24"/>
          <w:szCs w:val="24"/>
          <w:lang w:eastAsia="cs-CZ"/>
        </w:rPr>
      </w:pPr>
    </w:p>
    <w:p w14:paraId="24E0D666" w14:textId="77777777" w:rsidR="00260E42" w:rsidRDefault="00260E42" w:rsidP="00260E42">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 xml:space="preserve">Stavba je nepotřebná, s neúměrnými ekonomickými náklady a má zásadní negativní vliv na životní prostředí a zdraví obyvatel, jakož i na rozvoj dotčených obcí. Stavba je zcela mimo rozvojovou osu dle Politiky územního rozvoje B.2.7. Praha – Benešov – České Budějovice, není součástí žádné, ani nadmístní rozvojové osy (viz kap. B.4.). Záměr zcela míjí rozvojovou oblast OBk6 Benešov, prochází naopak obcemi, které jsou maximálně lokálními centry osídlení. </w:t>
      </w:r>
    </w:p>
    <w:p w14:paraId="56595D4D" w14:textId="77777777" w:rsidR="003040F4" w:rsidRDefault="003040F4" w:rsidP="00260E42">
      <w:pPr>
        <w:suppressAutoHyphens/>
        <w:spacing w:after="0"/>
        <w:ind w:firstLine="708"/>
        <w:jc w:val="both"/>
        <w:rPr>
          <w:rFonts w:ascii="Times New Roman" w:hAnsi="Times New Roman" w:cs="Times New Roman"/>
          <w:sz w:val="24"/>
          <w:szCs w:val="24"/>
        </w:rPr>
      </w:pPr>
    </w:p>
    <w:p w14:paraId="5A45EC0F" w14:textId="77777777" w:rsidR="003040F4" w:rsidRDefault="003040F4" w:rsidP="003040F4">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 xml:space="preserve">Dopravní význam záměru pro ČR je přeceňovaný a projekt nemůže naplnit očekávání příznivců. Nevede do Prahy, ale do obrovské dopravní zácpy na D0, odkud neexistuje odpovídající kapacitní spojení s hlavním městem. Dopravní spojení s Jihočeským krajem i bez dálnice D3 ve Stč. kraji zajišťuje dokončená dálnice D4 Praha – Písek s navazující I/20 do Českých Budějovic, modernizovaná I/3 a železniční koridor. Záměr nevyřeší dopravní problémy regionu, naopak pozve zástupy kamionů, kterých se vyspělé evropské země snaží zbavovat, aby si udělaly objížďku přes střední Čechy. Záměr bude indukovat další dopravní zatížení daného území i celé ČR.  Dálnice neuleví přetíženým silnicím od dopravy. Naopak bude indukovat další dopravu: 60 – 90 % přidané kapacity se podle expertních studií zaplní do </w:t>
      </w:r>
      <w:r w:rsidRPr="003040F4">
        <w:rPr>
          <w:rFonts w:ascii="Times New Roman" w:hAnsi="Times New Roman" w:cs="Times New Roman"/>
          <w:sz w:val="24"/>
          <w:szCs w:val="24"/>
        </w:rPr>
        <w:lastRenderedPageBreak/>
        <w:t>5 let. Okolní obce budou velmi tvrdě zasaženy při uzávěrách dálnice, okolní silnice budou v prioritě údržby až po dálnici.</w:t>
      </w:r>
    </w:p>
    <w:p w14:paraId="7B86C089" w14:textId="77777777" w:rsidR="002D04C8" w:rsidRPr="003040F4" w:rsidRDefault="002D04C8" w:rsidP="003040F4">
      <w:pPr>
        <w:suppressAutoHyphens/>
        <w:spacing w:after="0"/>
        <w:jc w:val="both"/>
        <w:rPr>
          <w:rFonts w:ascii="Times New Roman" w:hAnsi="Times New Roman" w:cs="Times New Roman"/>
          <w:sz w:val="24"/>
          <w:szCs w:val="24"/>
        </w:rPr>
      </w:pPr>
    </w:p>
    <w:p w14:paraId="27368161" w14:textId="0A77F079" w:rsidR="002D04C8" w:rsidRPr="003040F4" w:rsidRDefault="002D04C8" w:rsidP="00260E42">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Středočeská D3 (dále též jen SD3) pochází ze 70. let, územní a další schvalovací řízení mají probíhat až po roce 2022. Na základě odborné revize (přes dvacet posudků) byly identifikovány vážné vady projektu, schvalovací proces se dále komplikuje, prodražuje a nabírá zpoždění. Za dobu přípravy (cca 30 let) záměr ztratil opodstatnění z pohledu dopravy a stal se ekonomicky neefektivní. Z důvodu politického zadání však ŘSD pokračuje v jeho přípravě.</w:t>
      </w:r>
    </w:p>
    <w:p w14:paraId="608DCE03" w14:textId="77777777" w:rsidR="00260E42" w:rsidRPr="003040F4" w:rsidRDefault="00260E42" w:rsidP="00260E42">
      <w:pPr>
        <w:suppressAutoHyphens/>
        <w:spacing w:after="0"/>
        <w:ind w:firstLine="708"/>
        <w:jc w:val="both"/>
        <w:rPr>
          <w:rFonts w:ascii="Times New Roman" w:hAnsi="Times New Roman" w:cs="Times New Roman"/>
          <w:sz w:val="24"/>
          <w:szCs w:val="24"/>
        </w:rPr>
      </w:pPr>
    </w:p>
    <w:p w14:paraId="3B252374" w14:textId="23D6F80F" w:rsidR="00260E42" w:rsidRPr="003040F4" w:rsidRDefault="00260E42" w:rsidP="00260E42">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Přestože se záměr připravuje již několik desetiletí, nikdy nedošlo k reálnému zhodnocení ekonomického přínosu uvedené stavby v poměru k nákladům. Vzhledem k významným střetům se zájmy na ochranu vlastnických práv, zdraví lidí, nerostného bohatství, ochranu ZPF a PUPFL, ochranu krajinného rázu a prostupnosti krajiny je toto vyhodnocení nejen vyžadováno zákonem (§ 19 odst. 2 stavebního zákona), ale je též věcně potřebné a logické, zejména ve vztahu k nedostatku finančních prostředků státu a odsouvání termínů harmonogramu výstavby. I časové hledisko a návaznost na jiné dopravní stavby, které jsou schopny převzít severojižní dopravní toky (D4, rekonstruovaná I/3, IV. železniční koridor), je třeba do tohoto multikriteriálního hodnocení zahrnout.</w:t>
      </w:r>
      <w:r w:rsidR="002D04C8" w:rsidRPr="003040F4">
        <w:rPr>
          <w:rFonts w:ascii="Times New Roman" w:hAnsi="Times New Roman" w:cs="Times New Roman"/>
          <w:sz w:val="24"/>
          <w:szCs w:val="24"/>
        </w:rPr>
        <w:t xml:space="preserve"> Po brzké dostavbě těchto dopravních staveb se stane výstavba SD3 nadbytečnou. V těsné blízkosti by se tak ocitly hned čtyři (!) paralelní kapacitní dopravní trasy vedoucí od Prahy na jih.</w:t>
      </w:r>
    </w:p>
    <w:p w14:paraId="035746F8" w14:textId="77777777" w:rsidR="00260E42" w:rsidRPr="003040F4" w:rsidRDefault="00260E42" w:rsidP="00260E42">
      <w:pPr>
        <w:suppressAutoHyphens/>
        <w:spacing w:after="0"/>
        <w:ind w:firstLine="708"/>
        <w:jc w:val="both"/>
        <w:rPr>
          <w:rFonts w:ascii="Times New Roman" w:hAnsi="Times New Roman" w:cs="Times New Roman"/>
          <w:sz w:val="24"/>
          <w:szCs w:val="24"/>
        </w:rPr>
      </w:pPr>
    </w:p>
    <w:p w14:paraId="2DE57352" w14:textId="45FAFA89" w:rsidR="00260E42" w:rsidRPr="003040F4" w:rsidRDefault="00260E42" w:rsidP="00260E42">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Chybí jakékoliv posouzení potřebnosti záměru po výstavbě obchvatu Olbramovic, dokončení dálnice D4 (2024), dokončení IV. železničního koridoru, obchvatu Benešova a zahloubení I/3 u Konopiště (v projektové přípravě).</w:t>
      </w:r>
    </w:p>
    <w:p w14:paraId="1ACDF53B" w14:textId="77777777" w:rsidR="00260E42" w:rsidRDefault="00260E42" w:rsidP="00260E42">
      <w:pPr>
        <w:suppressAutoHyphens/>
        <w:spacing w:after="0"/>
        <w:ind w:firstLine="708"/>
        <w:jc w:val="both"/>
        <w:rPr>
          <w:rFonts w:ascii="Times New Roman" w:hAnsi="Times New Roman" w:cs="Times New Roman"/>
          <w:sz w:val="24"/>
          <w:szCs w:val="24"/>
        </w:rPr>
      </w:pPr>
    </w:p>
    <w:p w14:paraId="3F6F949D" w14:textId="77777777" w:rsidR="003040F4" w:rsidRPr="003040F4" w:rsidRDefault="003040F4" w:rsidP="003040F4">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Záměr není prioritní stavbou v systému evropské mezinárodní dálniční sítě TEN T, jak uvádí investor.</w:t>
      </w:r>
    </w:p>
    <w:p w14:paraId="464E285F" w14:textId="77777777" w:rsidR="003040F4" w:rsidRPr="003040F4" w:rsidRDefault="003040F4" w:rsidP="003040F4">
      <w:pPr>
        <w:suppressAutoHyphens/>
        <w:spacing w:after="0"/>
        <w:jc w:val="both"/>
        <w:rPr>
          <w:rFonts w:ascii="Times New Roman" w:hAnsi="Times New Roman" w:cs="Times New Roman"/>
          <w:sz w:val="24"/>
          <w:szCs w:val="24"/>
        </w:rPr>
      </w:pPr>
    </w:p>
    <w:p w14:paraId="2CB899E2" w14:textId="77777777" w:rsidR="00664458" w:rsidRPr="003040F4" w:rsidRDefault="00260E42" w:rsidP="00260E42">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Náklady na realizaci celého záměru jsou</w:t>
      </w:r>
      <w:r w:rsidR="00664458" w:rsidRPr="003040F4">
        <w:rPr>
          <w:rFonts w:ascii="Times New Roman" w:hAnsi="Times New Roman" w:cs="Times New Roman"/>
          <w:sz w:val="24"/>
          <w:szCs w:val="24"/>
        </w:rPr>
        <w:t xml:space="preserve"> odhadovány na </w:t>
      </w:r>
      <w:r w:rsidR="00664458" w:rsidRPr="003040F4">
        <w:rPr>
          <w:rFonts w:ascii="Times New Roman" w:hAnsi="Times New Roman" w:cs="Times New Roman"/>
          <w:b/>
          <w:bCs/>
          <w:sz w:val="24"/>
          <w:szCs w:val="24"/>
        </w:rPr>
        <w:t>71,5 miliardy korun bez DPH</w:t>
      </w:r>
      <w:r w:rsidRPr="003040F4">
        <w:rPr>
          <w:rFonts w:ascii="Times New Roman" w:hAnsi="Times New Roman" w:cs="Times New Roman"/>
          <w:sz w:val="24"/>
          <w:szCs w:val="24"/>
        </w:rPr>
        <w:t xml:space="preserve">, tedy 1 km dálnice za </w:t>
      </w:r>
      <w:r w:rsidR="00664458" w:rsidRPr="003040F4">
        <w:rPr>
          <w:rFonts w:ascii="Times New Roman" w:hAnsi="Times New Roman" w:cs="Times New Roman"/>
          <w:sz w:val="24"/>
          <w:szCs w:val="24"/>
        </w:rPr>
        <w:t xml:space="preserve">více než </w:t>
      </w:r>
      <w:r w:rsidRPr="003040F4">
        <w:rPr>
          <w:rFonts w:ascii="Times New Roman" w:hAnsi="Times New Roman" w:cs="Times New Roman"/>
          <w:sz w:val="24"/>
          <w:szCs w:val="24"/>
        </w:rPr>
        <w:t>1 mld. Kč! T</w:t>
      </w:r>
      <w:r w:rsidR="00664458" w:rsidRPr="003040F4">
        <w:rPr>
          <w:rFonts w:ascii="Times New Roman" w:hAnsi="Times New Roman" w:cs="Times New Roman"/>
          <w:sz w:val="24"/>
          <w:szCs w:val="24"/>
        </w:rPr>
        <w:t xml:space="preserve">ento údaj </w:t>
      </w:r>
      <w:r w:rsidR="00664458" w:rsidRPr="003040F4">
        <w:rPr>
          <w:rFonts w:ascii="Times New Roman" w:hAnsi="Times New Roman" w:cs="Times New Roman"/>
          <w:b/>
          <w:bCs/>
          <w:sz w:val="24"/>
          <w:szCs w:val="24"/>
        </w:rPr>
        <w:t>vyplývá z materiálu Ministerstva dopravy</w:t>
      </w:r>
      <w:r w:rsidR="00664458" w:rsidRPr="003040F4">
        <w:rPr>
          <w:rFonts w:ascii="Times New Roman" w:hAnsi="Times New Roman" w:cs="Times New Roman"/>
          <w:sz w:val="24"/>
          <w:szCs w:val="24"/>
        </w:rPr>
        <w:t xml:space="preserve"> „Zajištění financování staveb souvisejících s realizací dálnice D3 ve Středočeském kraji ze SFDI – I. Aktualizace“ (č. j. MD-32647/2025-910/9)</w:t>
      </w:r>
      <w:r w:rsidRPr="003040F4">
        <w:rPr>
          <w:rFonts w:ascii="Times New Roman" w:hAnsi="Times New Roman" w:cs="Times New Roman"/>
          <w:sz w:val="24"/>
          <w:szCs w:val="24"/>
        </w:rPr>
        <w:t xml:space="preserve">. </w:t>
      </w:r>
    </w:p>
    <w:p w14:paraId="0A710BAC" w14:textId="77777777" w:rsidR="00260E42" w:rsidRPr="003040F4" w:rsidRDefault="00260E42" w:rsidP="003040F4">
      <w:pPr>
        <w:suppressAutoHyphens/>
        <w:spacing w:after="0"/>
        <w:jc w:val="both"/>
        <w:rPr>
          <w:rFonts w:ascii="Times New Roman" w:hAnsi="Times New Roman" w:cs="Times New Roman"/>
          <w:sz w:val="24"/>
          <w:szCs w:val="24"/>
        </w:rPr>
      </w:pPr>
    </w:p>
    <w:p w14:paraId="2DD97896" w14:textId="77777777" w:rsidR="00260E42" w:rsidRPr="003040F4" w:rsidRDefault="00260E42" w:rsidP="00260E42">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Náklady a ztráty významně převažují ev. zisky a přínosy dálnice. Absurdně vysoká pořizovací cena při tom tvoří jen asi jednu pětinu skutečných nákladů, které by byly vynaloženy na provoz/údržbu/opravy v horizontu uvažovaných 100 let užívání dálnice.</w:t>
      </w:r>
    </w:p>
    <w:p w14:paraId="0AF3E7B0" w14:textId="77777777" w:rsidR="00260E42" w:rsidRPr="003040F4" w:rsidRDefault="00260E42" w:rsidP="00260E42">
      <w:pPr>
        <w:suppressAutoHyphens/>
        <w:spacing w:after="0"/>
        <w:ind w:firstLine="708"/>
        <w:jc w:val="both"/>
        <w:rPr>
          <w:rFonts w:ascii="Times New Roman" w:hAnsi="Times New Roman" w:cs="Times New Roman"/>
          <w:sz w:val="24"/>
          <w:szCs w:val="24"/>
        </w:rPr>
      </w:pPr>
    </w:p>
    <w:p w14:paraId="1726D4B1" w14:textId="22729BB7" w:rsidR="00260E42" w:rsidRPr="003040F4" w:rsidRDefault="00260E42" w:rsidP="00942EBF">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Záměr je v rozporu s Dopravní politikou ČR pro období 20</w:t>
      </w:r>
      <w:r w:rsidR="00664458" w:rsidRPr="003040F4">
        <w:rPr>
          <w:rFonts w:ascii="Times New Roman" w:hAnsi="Times New Roman" w:cs="Times New Roman"/>
          <w:sz w:val="24"/>
          <w:szCs w:val="24"/>
        </w:rPr>
        <w:t>21</w:t>
      </w:r>
      <w:r w:rsidRPr="003040F4">
        <w:rPr>
          <w:rFonts w:ascii="Times New Roman" w:hAnsi="Times New Roman" w:cs="Times New Roman"/>
          <w:sz w:val="24"/>
          <w:szCs w:val="24"/>
        </w:rPr>
        <w:t>-202</w:t>
      </w:r>
      <w:r w:rsidR="00664458" w:rsidRPr="003040F4">
        <w:rPr>
          <w:rFonts w:ascii="Times New Roman" w:hAnsi="Times New Roman" w:cs="Times New Roman"/>
          <w:sz w:val="24"/>
          <w:szCs w:val="24"/>
        </w:rPr>
        <w:t>7</w:t>
      </w:r>
      <w:r w:rsidRPr="003040F4">
        <w:rPr>
          <w:rFonts w:ascii="Times New Roman" w:hAnsi="Times New Roman" w:cs="Times New Roman"/>
          <w:sz w:val="24"/>
          <w:szCs w:val="24"/>
        </w:rPr>
        <w:t xml:space="preserve"> s výhledem do roku 2050</w:t>
      </w:r>
      <w:r w:rsidR="00664458" w:rsidRPr="003040F4">
        <w:rPr>
          <w:rFonts w:ascii="Times New Roman" w:hAnsi="Times New Roman" w:cs="Times New Roman"/>
          <w:sz w:val="24"/>
          <w:szCs w:val="24"/>
        </w:rPr>
        <w:t>, schválená usnesením Vlády ČR ze dne 8. března 2021 č. 259</w:t>
      </w:r>
      <w:r w:rsidRPr="003040F4">
        <w:rPr>
          <w:rFonts w:ascii="Times New Roman" w:hAnsi="Times New Roman" w:cs="Times New Roman"/>
          <w:sz w:val="24"/>
          <w:szCs w:val="24"/>
        </w:rPr>
        <w:t>,</w:t>
      </w:r>
      <w:r w:rsidR="00664458" w:rsidRPr="003040F4">
        <w:rPr>
          <w:rFonts w:ascii="Times New Roman" w:hAnsi="Times New Roman" w:cs="Times New Roman"/>
          <w:sz w:val="24"/>
          <w:szCs w:val="24"/>
        </w:rPr>
        <w:t xml:space="preserve"> </w:t>
      </w:r>
      <w:r w:rsidRPr="003040F4">
        <w:rPr>
          <w:rFonts w:ascii="Times New Roman" w:hAnsi="Times New Roman" w:cs="Times New Roman"/>
          <w:sz w:val="24"/>
          <w:szCs w:val="24"/>
        </w:rPr>
        <w:t xml:space="preserve">za jehož implementaci je odpovědné Ministerstvo dopravy ČR. </w:t>
      </w:r>
      <w:r w:rsidR="00942EBF" w:rsidRPr="003040F4">
        <w:rPr>
          <w:rFonts w:ascii="Times New Roman" w:hAnsi="Times New Roman" w:cs="Times New Roman"/>
          <w:sz w:val="24"/>
          <w:szCs w:val="24"/>
        </w:rPr>
        <w:t xml:space="preserve">Dopravní politika ČR 2021-2027 preferuje optimalizaci a modernizaci stávající infrastruktury s cílem minimalizovat negativní dopady na životní prostředí a zajistit efektivní využití zdrojů. To záměr nenaplňuje. </w:t>
      </w:r>
    </w:p>
    <w:p w14:paraId="47BA4A37" w14:textId="77777777" w:rsidR="00260E42" w:rsidRPr="003040F4" w:rsidRDefault="00260E42" w:rsidP="00260E42">
      <w:pPr>
        <w:suppressAutoHyphens/>
        <w:spacing w:after="0"/>
        <w:jc w:val="both"/>
        <w:rPr>
          <w:rFonts w:ascii="Times New Roman" w:hAnsi="Times New Roman" w:cs="Times New Roman"/>
          <w:sz w:val="24"/>
          <w:szCs w:val="24"/>
        </w:rPr>
      </w:pPr>
    </w:p>
    <w:p w14:paraId="50BDF77F" w14:textId="5E3D410A" w:rsidR="00260E42" w:rsidRPr="003040F4" w:rsidRDefault="00260E42" w:rsidP="00260E42">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 xml:space="preserve">Dálnice ohrozí místní zdroje půdy, pitné vody obcí a vodní i tepelný režim krajiny. Zásobovat vodou z dálkových přivaděčů další odběratele není udržitelné ani bezpečné. Stavba dálnice v navrhované trase je v rozporu s evropskou Směrnicí č. 2006/118/ES o ochraně podzemních vod před znečištěním a zhoršováním stavu, se zákonem ČR č. 254/2001 Sb. o </w:t>
      </w:r>
      <w:r w:rsidRPr="003040F4">
        <w:rPr>
          <w:rFonts w:ascii="Times New Roman" w:hAnsi="Times New Roman" w:cs="Times New Roman"/>
          <w:sz w:val="24"/>
          <w:szCs w:val="24"/>
        </w:rPr>
        <w:lastRenderedPageBreak/>
        <w:t>vodách</w:t>
      </w:r>
      <w:r w:rsidR="00942EBF" w:rsidRPr="003040F4">
        <w:rPr>
          <w:rFonts w:ascii="Times New Roman" w:hAnsi="Times New Roman" w:cs="Times New Roman"/>
          <w:sz w:val="24"/>
          <w:szCs w:val="24"/>
        </w:rPr>
        <w:t xml:space="preserve"> </w:t>
      </w:r>
      <w:r w:rsidRPr="003040F4">
        <w:rPr>
          <w:rFonts w:ascii="Times New Roman" w:hAnsi="Times New Roman" w:cs="Times New Roman"/>
          <w:sz w:val="24"/>
          <w:szCs w:val="24"/>
        </w:rPr>
        <w:t>a s národní Strategií přizpůsobení se změně klimatu v podmínkách ČR (usnesení vlády č. 861).</w:t>
      </w:r>
    </w:p>
    <w:p w14:paraId="22CCA2F9" w14:textId="77777777" w:rsidR="00260E42" w:rsidRPr="003040F4" w:rsidRDefault="00260E42" w:rsidP="00260E42">
      <w:pPr>
        <w:suppressAutoHyphens/>
        <w:spacing w:after="0"/>
        <w:ind w:firstLine="708"/>
        <w:jc w:val="both"/>
        <w:rPr>
          <w:rFonts w:ascii="Times New Roman" w:hAnsi="Times New Roman" w:cs="Times New Roman"/>
          <w:sz w:val="24"/>
          <w:szCs w:val="24"/>
        </w:rPr>
      </w:pPr>
    </w:p>
    <w:p w14:paraId="2EE7766B" w14:textId="477DE6E5" w:rsidR="00260E42" w:rsidRPr="003040F4" w:rsidRDefault="00260E42" w:rsidP="003040F4">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Projekt dálnice zničí hodnotnou a dosud málo dotčenou krajinu Neveklovska a</w:t>
      </w:r>
      <w:r w:rsidR="00942EBF" w:rsidRPr="003040F4">
        <w:rPr>
          <w:rFonts w:ascii="Times New Roman" w:hAnsi="Times New Roman" w:cs="Times New Roman"/>
          <w:sz w:val="24"/>
          <w:szCs w:val="24"/>
        </w:rPr>
        <w:t xml:space="preserve"> Posázaví, zasahuje do přírodního parku Střed Čech, je v rozporu s požadavky na jeho ochranu</w:t>
      </w:r>
      <w:r w:rsidRPr="003040F4">
        <w:rPr>
          <w:rFonts w:ascii="Times New Roman" w:hAnsi="Times New Roman" w:cs="Times New Roman"/>
          <w:sz w:val="24"/>
          <w:szCs w:val="24"/>
        </w:rPr>
        <w:t>. V dotčeném území však chybí zdroje i cíle dálkové dopravy. Negativní vliv na zdraví obyvatel a kvalitu jejich života. Prašnost, škodliviny z dopravního provozu a průvodních staveb, kontaminace vody a půdy, rušivé světlo, omezení pohybu v krajině, stres.</w:t>
      </w:r>
    </w:p>
    <w:p w14:paraId="7487C142" w14:textId="77777777" w:rsidR="003040F4" w:rsidRPr="003040F4" w:rsidRDefault="003040F4" w:rsidP="00260E42">
      <w:pPr>
        <w:suppressAutoHyphens/>
        <w:spacing w:after="0"/>
        <w:ind w:firstLine="708"/>
        <w:jc w:val="both"/>
        <w:rPr>
          <w:rFonts w:ascii="Times New Roman" w:hAnsi="Times New Roman" w:cs="Times New Roman"/>
          <w:sz w:val="24"/>
          <w:szCs w:val="24"/>
        </w:rPr>
      </w:pPr>
    </w:p>
    <w:p w14:paraId="00105453" w14:textId="5DFB703C" w:rsidR="003040F4" w:rsidRPr="00C169C2" w:rsidRDefault="003040F4" w:rsidP="00C169C2">
      <w:pPr>
        <w:widowControl w:val="0"/>
        <w:suppressAutoHyphens/>
        <w:autoSpaceDE w:val="0"/>
        <w:autoSpaceDN w:val="0"/>
        <w:adjustRightInd w:val="0"/>
        <w:spacing w:after="0"/>
        <w:jc w:val="both"/>
        <w:rPr>
          <w:rFonts w:ascii="Times New Roman" w:eastAsia="Times New Roman" w:hAnsi="Times New Roman" w:cs="Times New Roman"/>
          <w:b/>
          <w:kern w:val="24"/>
          <w:sz w:val="24"/>
          <w:szCs w:val="24"/>
          <w:lang w:eastAsia="cs-CZ"/>
        </w:rPr>
      </w:pPr>
      <w:r w:rsidRPr="00C169C2">
        <w:rPr>
          <w:rFonts w:ascii="Times New Roman" w:eastAsia="Times New Roman" w:hAnsi="Times New Roman" w:cs="Times New Roman"/>
          <w:b/>
          <w:kern w:val="24"/>
          <w:sz w:val="24"/>
          <w:szCs w:val="24"/>
          <w:lang w:eastAsia="cs-CZ"/>
        </w:rPr>
        <w:t>Dálnice znehodnotí množství a kvalitu vody</w:t>
      </w:r>
    </w:p>
    <w:p w14:paraId="4C5E3950" w14:textId="77777777" w:rsidR="003040F4" w:rsidRDefault="003040F4" w:rsidP="003040F4">
      <w:pPr>
        <w:spacing w:after="0"/>
        <w:rPr>
          <w:rFonts w:ascii="Times New Roman" w:hAnsi="Times New Roman" w:cs="Times New Roman"/>
          <w:sz w:val="24"/>
          <w:szCs w:val="24"/>
        </w:rPr>
      </w:pPr>
    </w:p>
    <w:p w14:paraId="7268FE86" w14:textId="323F351D" w:rsidR="003040F4" w:rsidRPr="003040F4" w:rsidRDefault="003040F4" w:rsidP="003040F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Záměr zasáhne do mnoha lokálních zdrojů pitné vody, včetně zdrojů užívaných účastníkem. </w:t>
      </w:r>
      <w:r w:rsidRPr="003040F4">
        <w:rPr>
          <w:rFonts w:ascii="Times New Roman" w:hAnsi="Times New Roman" w:cs="Times New Roman"/>
          <w:sz w:val="24"/>
          <w:szCs w:val="24"/>
        </w:rPr>
        <w:t>Na vodní zdroje, které jsou závislé na podzemní vodě (studny), je potřeba nově pohlížet jako na strategicky důležité a ne je jen nahrazovat centralizovanou distribucí vody. Lokální zdroje mohou hrát důležitou roli při výpadku distribuční sítě vody nebo i jen dodávek el. energie a jako takové jsou vlastně nenahraditelné. V současné globální politické situaci je potřeba na to myslet a posoudit to v nové EIA (jako možný vliv na zdraví obyvatel). Opět, výše uvedený argument podporuje provedení nového zjišťovacího řízení, ve kterém bude výše uvedené zohledněno a posouzeno.</w:t>
      </w:r>
    </w:p>
    <w:p w14:paraId="40F95D26" w14:textId="77777777" w:rsidR="003040F4" w:rsidRPr="003040F4" w:rsidRDefault="003040F4" w:rsidP="003040F4">
      <w:pPr>
        <w:spacing w:after="0"/>
        <w:jc w:val="both"/>
        <w:rPr>
          <w:rFonts w:ascii="Times New Roman" w:hAnsi="Times New Roman" w:cs="Times New Roman"/>
          <w:sz w:val="24"/>
          <w:szCs w:val="24"/>
        </w:rPr>
      </w:pPr>
    </w:p>
    <w:p w14:paraId="397755FE" w14:textId="77777777"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Obecným trendem posledních let je, že podzemní voda klesá a to má vliv na celý ekosystém a zdraví obyvatel.  Po roce 2021, kdy se pokles zmírnil, opět v roce 2022 došlo k dalšímu poklesu hladin podzemní i povrchové vody. Opět, výše uvedený argument podporuje provedení nového zjišťovacího řízení, ve kterém bude tento trend zohledněn a posouzen.</w:t>
      </w:r>
    </w:p>
    <w:p w14:paraId="322ACD49" w14:textId="77777777" w:rsidR="003040F4" w:rsidRPr="003040F4" w:rsidRDefault="003040F4" w:rsidP="003040F4">
      <w:pPr>
        <w:spacing w:after="0"/>
        <w:ind w:firstLine="708"/>
        <w:jc w:val="both"/>
        <w:rPr>
          <w:rFonts w:ascii="Times New Roman" w:hAnsi="Times New Roman" w:cs="Times New Roman"/>
          <w:sz w:val="24"/>
          <w:szCs w:val="24"/>
        </w:rPr>
      </w:pPr>
    </w:p>
    <w:p w14:paraId="2F124575" w14:textId="77777777"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 xml:space="preserve">Předchozí hydrogeologické průzkumy doporučují podrobnější monitoring, to znamená, že je potřeba pro posouzení více dat a nová data. To je skutečnost, kterou původní EIA nemohla brát v potaz, protože tento požadavek vznikl až později. </w:t>
      </w:r>
      <w:bookmarkStart w:id="3" w:name="_Hlk122091799"/>
      <w:r w:rsidRPr="003040F4">
        <w:rPr>
          <w:rFonts w:ascii="Times New Roman" w:hAnsi="Times New Roman" w:cs="Times New Roman"/>
          <w:sz w:val="24"/>
          <w:szCs w:val="24"/>
        </w:rPr>
        <w:t>Opět, výše uvedený argument podporuje provedení nového zjišťovacího řízení, ve kterém bude výše uvedené zohledněno a posouzeno.</w:t>
      </w:r>
    </w:p>
    <w:bookmarkEnd w:id="3"/>
    <w:p w14:paraId="6AFF6E78" w14:textId="77777777" w:rsidR="003040F4" w:rsidRPr="003040F4" w:rsidRDefault="003040F4" w:rsidP="003040F4">
      <w:pPr>
        <w:spacing w:after="0"/>
        <w:ind w:firstLine="708"/>
        <w:jc w:val="both"/>
        <w:rPr>
          <w:rFonts w:ascii="Times New Roman" w:hAnsi="Times New Roman" w:cs="Times New Roman"/>
          <w:sz w:val="24"/>
          <w:szCs w:val="24"/>
        </w:rPr>
      </w:pPr>
    </w:p>
    <w:p w14:paraId="643DF10B" w14:textId="77777777"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Obecně je nově, více než dříve, doporučováno jako zásadní, aby se prováděla opatření pro zadržování vody v krajině. Tato opatření jsou a budou klíčová pro kvalitu a stav podzemní vody. Důraz na realizaci těchto opatření je změna, která proběhla později, než je předchozí stanovisko EIA a proto by to nová EIA měla zohlednit a to z pohledu, jak by dálnice možnosti těchto opatření ovlivnila. Opět, výše uvedený argument podporuje provedení nového zjišťovacího řízení, ve kterém bude výše uvedené zohledněno a posouzeno.</w:t>
      </w:r>
    </w:p>
    <w:p w14:paraId="37553226" w14:textId="77777777" w:rsidR="003040F4" w:rsidRPr="003040F4" w:rsidRDefault="003040F4" w:rsidP="003040F4">
      <w:pPr>
        <w:spacing w:after="0"/>
        <w:ind w:firstLine="708"/>
        <w:jc w:val="both"/>
        <w:rPr>
          <w:rFonts w:ascii="Times New Roman" w:hAnsi="Times New Roman" w:cs="Times New Roman"/>
          <w:sz w:val="24"/>
          <w:szCs w:val="24"/>
        </w:rPr>
      </w:pPr>
    </w:p>
    <w:p w14:paraId="5A71BF02" w14:textId="77777777"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Bylo nově zjištěno, jak spodní voda v dané oblasti závisí na srážkových úhrnech, ale toto nebylo zohledněno v původní EIA, což je potřeba nově zapracovat. Opět, výše uvedený argument podporuje provedení nového zjišťovacího řízení, ve kterém bude výše uvedené zohledněno a posouzeno.</w:t>
      </w:r>
    </w:p>
    <w:p w14:paraId="58B99C72" w14:textId="77777777" w:rsidR="003040F4" w:rsidRPr="003040F4" w:rsidRDefault="003040F4" w:rsidP="003040F4">
      <w:pPr>
        <w:spacing w:after="0"/>
        <w:ind w:firstLine="708"/>
        <w:rPr>
          <w:rFonts w:ascii="Times New Roman" w:hAnsi="Times New Roman" w:cs="Times New Roman"/>
          <w:sz w:val="24"/>
          <w:szCs w:val="24"/>
        </w:rPr>
      </w:pPr>
    </w:p>
    <w:p w14:paraId="63B3B0C1" w14:textId="77777777"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 xml:space="preserve">Původní posouzení a stanovisko EIA nebraly v úvahu nová data o trendu klimatické změny jako celku a vlivu na podzemní vody (jiný průběh srážek, rychlejší odpařování atd.). Proto by se mělo zpracovat nové zjišťovací řízení, které zapracuje nové poznatky a údaje. Opět, </w:t>
      </w:r>
      <w:r w:rsidRPr="003040F4">
        <w:rPr>
          <w:rFonts w:ascii="Times New Roman" w:hAnsi="Times New Roman" w:cs="Times New Roman"/>
          <w:sz w:val="24"/>
          <w:szCs w:val="24"/>
        </w:rPr>
        <w:lastRenderedPageBreak/>
        <w:t>výše uvedený argument podporuje provedení nového zjišťovacího řízení, ve kterém bude výše uvedené zohledněno a posouzeno.</w:t>
      </w:r>
    </w:p>
    <w:p w14:paraId="7F90D92A" w14:textId="77777777" w:rsidR="003040F4" w:rsidRPr="003040F4" w:rsidRDefault="003040F4" w:rsidP="003040F4">
      <w:pPr>
        <w:spacing w:after="0"/>
        <w:ind w:firstLine="708"/>
        <w:jc w:val="both"/>
        <w:rPr>
          <w:rFonts w:ascii="Times New Roman" w:hAnsi="Times New Roman" w:cs="Times New Roman"/>
          <w:sz w:val="24"/>
          <w:szCs w:val="24"/>
        </w:rPr>
      </w:pPr>
    </w:p>
    <w:p w14:paraId="72E82687" w14:textId="40639A6E"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Požaduj</w:t>
      </w:r>
      <w:r>
        <w:rPr>
          <w:rFonts w:ascii="Times New Roman" w:hAnsi="Times New Roman" w:cs="Times New Roman"/>
          <w:sz w:val="24"/>
          <w:szCs w:val="24"/>
        </w:rPr>
        <w:t>i</w:t>
      </w:r>
      <w:r w:rsidRPr="003040F4">
        <w:rPr>
          <w:rFonts w:ascii="Times New Roman" w:hAnsi="Times New Roman" w:cs="Times New Roman"/>
          <w:sz w:val="24"/>
          <w:szCs w:val="24"/>
        </w:rPr>
        <w:t xml:space="preserve"> komplexní doplnění hydrogeologického průzkumu ve všech úsecích označených jako nedostatečně prozkoumané a s chybějícími daty, včetně použití vrtných metod umožňujících zjištění ustálených a naražených hladin podzemní vody (D303, str. 150). Dále požadujeme provedení geofyzikálního průzkumu a nových hydrogeologických vrtů do zvodnělých puklinových struktur (D301, str. 367; D303, str. 149), aby bylo možné spolehlivě modelovat proudění podzemních vod a kvantifikovat dopady. Všechny výsledky musí být předloženy jako součást dokumentace před vydáním územního rozhodnutí.</w:t>
      </w:r>
    </w:p>
    <w:p w14:paraId="4F1AF610" w14:textId="77777777" w:rsidR="003040F4" w:rsidRPr="003040F4" w:rsidRDefault="003040F4" w:rsidP="003040F4">
      <w:pPr>
        <w:spacing w:after="0"/>
        <w:ind w:firstLine="708"/>
        <w:jc w:val="both"/>
        <w:rPr>
          <w:rFonts w:ascii="Times New Roman" w:hAnsi="Times New Roman" w:cs="Times New Roman"/>
          <w:sz w:val="24"/>
          <w:szCs w:val="24"/>
        </w:rPr>
      </w:pPr>
    </w:p>
    <w:p w14:paraId="585EA8BD" w14:textId="1F891EF4"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Požaduj</w:t>
      </w:r>
      <w:r>
        <w:rPr>
          <w:rFonts w:ascii="Times New Roman" w:hAnsi="Times New Roman" w:cs="Times New Roman"/>
          <w:sz w:val="24"/>
          <w:szCs w:val="24"/>
        </w:rPr>
        <w:t>i</w:t>
      </w:r>
      <w:r w:rsidRPr="003040F4">
        <w:rPr>
          <w:rFonts w:ascii="Times New Roman" w:hAnsi="Times New Roman" w:cs="Times New Roman"/>
          <w:sz w:val="24"/>
          <w:szCs w:val="24"/>
        </w:rPr>
        <w:t xml:space="preserve"> předložení analýzy prokazující, že veškerá opatření byla přijata k zabránění zhoršení stavu útvarů podzemních vod a že případné zhoršení je dočasné, odůvodněné vyšším veřejným zájmem a splňuje všechny podmínky Směrnice 2000/60/ES. Dále požadujeme detailní a právně závazný plán náhrady, prohloubení nebo jiného zajištění všech dotčených individuálních vodních zdrojů (zejména v obcích Luka pod Medníkem, Studené, Hostěradice, Lešany, Netvořice, Dun</w:t>
      </w:r>
      <w:r w:rsidR="00F90DE2">
        <w:rPr>
          <w:rFonts w:ascii="Times New Roman" w:hAnsi="Times New Roman" w:cs="Times New Roman"/>
          <w:sz w:val="24"/>
          <w:szCs w:val="24"/>
        </w:rPr>
        <w:t xml:space="preserve">ávice </w:t>
      </w:r>
      <w:r w:rsidRPr="003040F4">
        <w:rPr>
          <w:rFonts w:ascii="Times New Roman" w:hAnsi="Times New Roman" w:cs="Times New Roman"/>
          <w:sz w:val="24"/>
          <w:szCs w:val="24"/>
        </w:rPr>
        <w:t>a dalších obydlí bez veřejného vodovodu v dosahu 500m od dálnice), včetně finančního a časového harmonogramu, který musí být součástí dokumentace pro územní řízení. Tento plán musí rovněž řešit kompenzace při kvalitativním nebo kvantitativním ovlivnění vod pro ekosystémy.</w:t>
      </w:r>
    </w:p>
    <w:p w14:paraId="427C4E33" w14:textId="77777777" w:rsidR="003040F4" w:rsidRPr="003040F4" w:rsidRDefault="003040F4" w:rsidP="003040F4">
      <w:pPr>
        <w:spacing w:after="0"/>
        <w:ind w:firstLine="708"/>
        <w:jc w:val="both"/>
        <w:rPr>
          <w:rFonts w:ascii="Times New Roman" w:hAnsi="Times New Roman" w:cs="Times New Roman"/>
          <w:sz w:val="24"/>
          <w:szCs w:val="24"/>
        </w:rPr>
      </w:pPr>
    </w:p>
    <w:p w14:paraId="35D0D7D0" w14:textId="1CC6C7EA"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Požaduj</w:t>
      </w:r>
      <w:r>
        <w:rPr>
          <w:rFonts w:ascii="Times New Roman" w:hAnsi="Times New Roman" w:cs="Times New Roman"/>
          <w:sz w:val="24"/>
          <w:szCs w:val="24"/>
        </w:rPr>
        <w:t>i</w:t>
      </w:r>
      <w:r w:rsidRPr="003040F4">
        <w:rPr>
          <w:rFonts w:ascii="Times New Roman" w:hAnsi="Times New Roman" w:cs="Times New Roman"/>
          <w:sz w:val="24"/>
          <w:szCs w:val="24"/>
        </w:rPr>
        <w:t xml:space="preserve"> detailní a konkrétní návrhy všech technických opatření k ochraně podzemních a povrchových vod před znečištěním z provozu a údržby dálnice, včetně specifikace materiálů, umístění a funkčních parametrů izolačních systémů, odlučovačů ropných látek, systémů řízení povrchového odtoku a systému kontrolních vrtů pro chemický monitoring. Dále požadujeme podrobnou analýzu šíření stávajícího i budoucího znečištění (chloridy, ropné látky, dusičnany) a návrh konkrétních opatření pro jeho eliminaci nebo zmírnění, které musí být součástí dokumentace pro územní řízení.</w:t>
      </w:r>
    </w:p>
    <w:p w14:paraId="27F425E0" w14:textId="77777777" w:rsidR="003040F4" w:rsidRPr="003040F4" w:rsidRDefault="003040F4" w:rsidP="003040F4">
      <w:pPr>
        <w:spacing w:after="0"/>
        <w:ind w:firstLine="708"/>
        <w:jc w:val="both"/>
        <w:rPr>
          <w:rFonts w:ascii="Times New Roman" w:hAnsi="Times New Roman" w:cs="Times New Roman"/>
          <w:sz w:val="24"/>
          <w:szCs w:val="24"/>
        </w:rPr>
      </w:pPr>
    </w:p>
    <w:p w14:paraId="5C5DB7A6" w14:textId="3A21D741"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Požaduj</w:t>
      </w:r>
      <w:r>
        <w:rPr>
          <w:rFonts w:ascii="Times New Roman" w:hAnsi="Times New Roman" w:cs="Times New Roman"/>
          <w:sz w:val="24"/>
          <w:szCs w:val="24"/>
        </w:rPr>
        <w:t>i</w:t>
      </w:r>
      <w:r w:rsidRPr="003040F4">
        <w:rPr>
          <w:rFonts w:ascii="Times New Roman" w:hAnsi="Times New Roman" w:cs="Times New Roman"/>
          <w:sz w:val="24"/>
          <w:szCs w:val="24"/>
        </w:rPr>
        <w:t xml:space="preserve"> podrobný, závazný a komplexní plán monitoringu s přesným vymezením monitorovacích bodů (včetně nově budovaných vrtů v rizikových zónách a u ohrožených objektů), specifikací sledovaných parametrů (kvalitativních i kvantitativních), četnosti měření a závazných kritérií pro hodnocení změn. Tento plán musí být právně závazný a musí zahrnovat mechanismy pro rychlou reakci a přijímání dodatečných opatření v případě zjištění nepředpokládaných negativních dopadů. Dále požadujeme řešení monitoringu v nepřístupných objektech (např. zajištění přístupu, zřízení nových monitorovacích vrtů) před vydáním územního rozhodnutí.</w:t>
      </w:r>
    </w:p>
    <w:p w14:paraId="125B3AC4" w14:textId="77777777" w:rsidR="003040F4" w:rsidRPr="003040F4" w:rsidRDefault="003040F4" w:rsidP="003040F4">
      <w:pPr>
        <w:spacing w:after="0"/>
        <w:ind w:firstLine="708"/>
        <w:jc w:val="both"/>
        <w:rPr>
          <w:rFonts w:ascii="Times New Roman" w:hAnsi="Times New Roman" w:cs="Times New Roman"/>
          <w:sz w:val="24"/>
          <w:szCs w:val="24"/>
        </w:rPr>
      </w:pPr>
    </w:p>
    <w:p w14:paraId="50EA346A" w14:textId="465EB90C"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Požaduj</w:t>
      </w:r>
      <w:r>
        <w:rPr>
          <w:rFonts w:ascii="Times New Roman" w:hAnsi="Times New Roman" w:cs="Times New Roman"/>
          <w:sz w:val="24"/>
          <w:szCs w:val="24"/>
        </w:rPr>
        <w:t>i</w:t>
      </w:r>
      <w:r w:rsidRPr="003040F4">
        <w:rPr>
          <w:rFonts w:ascii="Times New Roman" w:hAnsi="Times New Roman" w:cs="Times New Roman"/>
          <w:sz w:val="24"/>
          <w:szCs w:val="24"/>
        </w:rPr>
        <w:t xml:space="preserve"> přerušení územního řízení do doby, než budou k dispozici a plně zapracovány všechny výsledky probíhajících podrobných geotechnických a hydrogeologických průzkumů, a následně bude předložena aktualizovaná dokumentace pro územní řízení, která tyto kompletní podklady zohledňuje a konkrétně se zaměřuje na výše uvedené citlivé oblasti a obce.</w:t>
      </w:r>
    </w:p>
    <w:p w14:paraId="43E99DB9" w14:textId="77777777" w:rsidR="003040F4" w:rsidRPr="003040F4" w:rsidRDefault="003040F4" w:rsidP="003040F4">
      <w:pPr>
        <w:spacing w:after="0"/>
        <w:ind w:firstLine="708"/>
        <w:jc w:val="both"/>
        <w:rPr>
          <w:rFonts w:ascii="Times New Roman" w:hAnsi="Times New Roman" w:cs="Times New Roman"/>
          <w:sz w:val="24"/>
          <w:szCs w:val="24"/>
        </w:rPr>
      </w:pPr>
    </w:p>
    <w:p w14:paraId="7454AC87" w14:textId="1383EF0F"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Požaduj</w:t>
      </w:r>
      <w:r>
        <w:rPr>
          <w:rFonts w:ascii="Times New Roman" w:hAnsi="Times New Roman" w:cs="Times New Roman"/>
          <w:sz w:val="24"/>
          <w:szCs w:val="24"/>
        </w:rPr>
        <w:t>i</w:t>
      </w:r>
      <w:r w:rsidRPr="003040F4">
        <w:rPr>
          <w:rFonts w:ascii="Times New Roman" w:hAnsi="Times New Roman" w:cs="Times New Roman"/>
          <w:sz w:val="24"/>
          <w:szCs w:val="24"/>
        </w:rPr>
        <w:t xml:space="preserve"> doplnění dokumentace o podrobnou analýzu a výpočty rizika znečištění lokálních, individuálních vodních zdrojů (studen) v zájmovém území z provozu a zimní údržby dálnice, a to s ohledem na aktuální stav osídlení a na již existující nevyhovující stav dotčených podzemních vodních útvarů. V rámci této analýzy musí být navržena konkrétní, specifická </w:t>
      </w:r>
      <w:r w:rsidRPr="003040F4">
        <w:rPr>
          <w:rFonts w:ascii="Times New Roman" w:hAnsi="Times New Roman" w:cs="Times New Roman"/>
          <w:sz w:val="24"/>
          <w:szCs w:val="24"/>
        </w:rPr>
        <w:lastRenderedPageBreak/>
        <w:t>opatření pro kvalitativní i kvantitativní ochranu těchto individuálních zdrojů, včetně finančních kompenzací a zajištění náhradního zdroje pitné vody pro případ znehodnocení.</w:t>
      </w:r>
    </w:p>
    <w:p w14:paraId="6F6BAD94" w14:textId="77777777" w:rsidR="003040F4" w:rsidRPr="003040F4" w:rsidRDefault="003040F4" w:rsidP="003040F4">
      <w:pPr>
        <w:spacing w:after="0"/>
        <w:ind w:firstLine="708"/>
        <w:jc w:val="both"/>
        <w:rPr>
          <w:rFonts w:ascii="Times New Roman" w:hAnsi="Times New Roman" w:cs="Times New Roman"/>
          <w:sz w:val="24"/>
          <w:szCs w:val="24"/>
        </w:rPr>
      </w:pPr>
    </w:p>
    <w:p w14:paraId="10EEEE65" w14:textId="28D44FCB"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Požaduj</w:t>
      </w:r>
      <w:r>
        <w:rPr>
          <w:rFonts w:ascii="Times New Roman" w:hAnsi="Times New Roman" w:cs="Times New Roman"/>
          <w:sz w:val="24"/>
          <w:szCs w:val="24"/>
        </w:rPr>
        <w:t>i</w:t>
      </w:r>
      <w:r w:rsidRPr="003040F4">
        <w:rPr>
          <w:rFonts w:ascii="Times New Roman" w:hAnsi="Times New Roman" w:cs="Times New Roman"/>
          <w:sz w:val="24"/>
          <w:szCs w:val="24"/>
        </w:rPr>
        <w:t xml:space="preserve"> doplnění dokumentace o detailní plán monitoringu pro individuální vodní zdroje obyvatel, včetně stanovení konkrétních monitorovacích bodů (studen), parametrů (včetně chloridů, ropných látek a dalších relevantních ukazatelů) a četnosti měření po celou dobu životnosti dálnice. Dále požadujeme předložení konkrétního plánu kompenzačních opatření a řešení pro případy kvalitativního nebo kvantitativního ovlivnění lokálních vodních zdrojů, který bude součástí dokumentace pro územní řízení a bude v souladu s principem "kdo znečišťuje, platí".</w:t>
      </w:r>
    </w:p>
    <w:p w14:paraId="393C5443" w14:textId="77777777" w:rsidR="003040F4" w:rsidRPr="003040F4" w:rsidRDefault="003040F4" w:rsidP="003040F4">
      <w:pPr>
        <w:spacing w:after="0"/>
        <w:ind w:firstLine="708"/>
        <w:jc w:val="both"/>
        <w:rPr>
          <w:rFonts w:ascii="Times New Roman" w:hAnsi="Times New Roman" w:cs="Times New Roman"/>
          <w:sz w:val="24"/>
          <w:szCs w:val="24"/>
        </w:rPr>
      </w:pPr>
    </w:p>
    <w:p w14:paraId="5A795153" w14:textId="11FE7577"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Požaduj</w:t>
      </w:r>
      <w:r>
        <w:rPr>
          <w:rFonts w:ascii="Times New Roman" w:hAnsi="Times New Roman" w:cs="Times New Roman"/>
          <w:sz w:val="24"/>
          <w:szCs w:val="24"/>
        </w:rPr>
        <w:t>i</w:t>
      </w:r>
      <w:r w:rsidRPr="003040F4">
        <w:rPr>
          <w:rFonts w:ascii="Times New Roman" w:hAnsi="Times New Roman" w:cs="Times New Roman"/>
          <w:sz w:val="24"/>
          <w:szCs w:val="24"/>
        </w:rPr>
        <w:t xml:space="preserve"> doplnění dokumentace o komplexní a aktualizovanou hydrotechnickou studii a posouzení rizik přívalových vod a povodní, která bude plně zohledňovat nejnovější scénáře změny klimatu s důrazem na zvýšenou frekvenci a intenzitu extrémních srážek. Tato studie musí navrhnout a kvantifikovat konkrétní opatření pro zajištění dostatečných přepadových kapacit retenčních systémů a robustnosti konstrukcí mostů a tunelů pro extrémní srážky s vyšší periodicitou (např. 50leté nebo 100leté), a to s detailními výpočty a projektovými řešeními pro všechny dotčené úseky.</w:t>
      </w:r>
    </w:p>
    <w:p w14:paraId="7B31C5D3" w14:textId="77777777" w:rsidR="003040F4" w:rsidRPr="003040F4" w:rsidRDefault="003040F4" w:rsidP="003040F4">
      <w:pPr>
        <w:spacing w:after="0"/>
        <w:ind w:firstLine="708"/>
        <w:jc w:val="both"/>
        <w:rPr>
          <w:rFonts w:ascii="Times New Roman" w:hAnsi="Times New Roman" w:cs="Times New Roman"/>
          <w:sz w:val="24"/>
          <w:szCs w:val="24"/>
        </w:rPr>
      </w:pPr>
    </w:p>
    <w:p w14:paraId="3F7F2657" w14:textId="18EB04BA" w:rsidR="003040F4" w:rsidRPr="003040F4" w:rsidRDefault="003040F4" w:rsidP="003040F4">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Požaduj</w:t>
      </w:r>
      <w:r>
        <w:rPr>
          <w:rFonts w:ascii="Times New Roman" w:hAnsi="Times New Roman" w:cs="Times New Roman"/>
          <w:sz w:val="24"/>
          <w:szCs w:val="24"/>
        </w:rPr>
        <w:t>i</w:t>
      </w:r>
      <w:r w:rsidRPr="003040F4">
        <w:rPr>
          <w:rFonts w:ascii="Times New Roman" w:hAnsi="Times New Roman" w:cs="Times New Roman"/>
          <w:sz w:val="24"/>
          <w:szCs w:val="24"/>
        </w:rPr>
        <w:t xml:space="preserve"> doplnění dokumentace o reálné prokázání, jakým způsobem byly všechny podmínky stanoviska EIA (zejména ty týkající se vodního hospodářství, ochrany individuálních vodních zdrojů a opatření proti extrémním srážkám) již zapracovány do dokumentace pro územní řízení. Pokud tak dosud nebylo učiněno, požadujeme přerušení územního řízení do doby, než bude předložena dokumentace, která skutečné zapracování těchto podmínek prokazuje a splňuje tak požadavek na konkrétnost a úplnost podkladů.</w:t>
      </w:r>
    </w:p>
    <w:p w14:paraId="2E4F1C86" w14:textId="77777777" w:rsidR="00CA2E01" w:rsidRPr="003040F4" w:rsidRDefault="00CA2E01" w:rsidP="00D82475">
      <w:pPr>
        <w:widowControl w:val="0"/>
        <w:suppressAutoHyphens/>
        <w:autoSpaceDE w:val="0"/>
        <w:autoSpaceDN w:val="0"/>
        <w:adjustRightInd w:val="0"/>
        <w:spacing w:after="0"/>
        <w:jc w:val="both"/>
        <w:rPr>
          <w:rFonts w:ascii="Times New Roman" w:eastAsia="Times New Roman" w:hAnsi="Times New Roman" w:cs="Times New Roman"/>
          <w:b/>
          <w:kern w:val="24"/>
          <w:sz w:val="24"/>
          <w:szCs w:val="24"/>
          <w:lang w:eastAsia="cs-CZ"/>
        </w:rPr>
      </w:pPr>
    </w:p>
    <w:p w14:paraId="0FEEF7B0" w14:textId="5B78763C" w:rsidR="00616EB1" w:rsidRPr="00C169C2" w:rsidRDefault="003040F4" w:rsidP="00C169C2">
      <w:pPr>
        <w:widowControl w:val="0"/>
        <w:suppressAutoHyphens/>
        <w:autoSpaceDE w:val="0"/>
        <w:autoSpaceDN w:val="0"/>
        <w:adjustRightInd w:val="0"/>
        <w:spacing w:after="0"/>
        <w:jc w:val="both"/>
        <w:rPr>
          <w:rFonts w:ascii="Times New Roman" w:eastAsia="Times New Roman" w:hAnsi="Times New Roman" w:cs="Times New Roman"/>
          <w:b/>
          <w:kern w:val="24"/>
          <w:sz w:val="24"/>
          <w:szCs w:val="24"/>
          <w:lang w:eastAsia="cs-CZ"/>
        </w:rPr>
      </w:pPr>
      <w:r w:rsidRPr="00C169C2">
        <w:rPr>
          <w:rFonts w:ascii="Times New Roman" w:eastAsia="Times New Roman" w:hAnsi="Times New Roman" w:cs="Times New Roman"/>
          <w:b/>
          <w:kern w:val="24"/>
          <w:sz w:val="24"/>
          <w:szCs w:val="24"/>
          <w:lang w:eastAsia="cs-CZ"/>
        </w:rPr>
        <w:t>Posouzení vlivů na životní prostředí (tzv. EIA)</w:t>
      </w:r>
    </w:p>
    <w:p w14:paraId="15A8BD5F" w14:textId="77777777" w:rsidR="00616EB1" w:rsidRPr="003040F4" w:rsidRDefault="00616EB1" w:rsidP="00616EB1">
      <w:pPr>
        <w:pStyle w:val="Odstavecseseznamem"/>
        <w:widowControl w:val="0"/>
        <w:suppressAutoHyphens/>
        <w:autoSpaceDE w:val="0"/>
        <w:autoSpaceDN w:val="0"/>
        <w:adjustRightInd w:val="0"/>
        <w:spacing w:after="0" w:line="240" w:lineRule="auto"/>
        <w:ind w:left="357"/>
        <w:jc w:val="both"/>
        <w:rPr>
          <w:rFonts w:ascii="Times New Roman" w:eastAsia="Times New Roman" w:hAnsi="Times New Roman" w:cs="Times New Roman"/>
          <w:b/>
          <w:kern w:val="24"/>
          <w:sz w:val="24"/>
          <w:szCs w:val="24"/>
          <w:lang w:eastAsia="cs-CZ"/>
        </w:rPr>
      </w:pPr>
    </w:p>
    <w:p w14:paraId="1144AF35" w14:textId="00C4EAB9" w:rsidR="00912E2D" w:rsidRPr="003040F4" w:rsidRDefault="00912E2D" w:rsidP="00912E2D">
      <w:pPr>
        <w:spacing w:after="0"/>
        <w:ind w:firstLine="708"/>
        <w:jc w:val="both"/>
        <w:rPr>
          <w:rFonts w:ascii="Times New Roman" w:hAnsi="Times New Roman" w:cs="Times New Roman"/>
          <w:bCs/>
          <w:sz w:val="24"/>
          <w:szCs w:val="24"/>
        </w:rPr>
      </w:pPr>
      <w:r w:rsidRPr="003040F4">
        <w:rPr>
          <w:rFonts w:ascii="Times New Roman" w:hAnsi="Times New Roman" w:cs="Times New Roman"/>
          <w:bCs/>
          <w:sz w:val="24"/>
          <w:szCs w:val="24"/>
        </w:rPr>
        <w:t>Ministerstvo životního prostředí vydalo dne 1.2.2012 pod č. j. 1933/ENV/12 stanovisko k posouzení vlivů provedení záměru „D3 – Středočeská část“ na životní prostředí (dále též jen „</w:t>
      </w:r>
      <w:r w:rsidRPr="003040F4">
        <w:rPr>
          <w:rFonts w:ascii="Times New Roman" w:hAnsi="Times New Roman" w:cs="Times New Roman"/>
          <w:bCs/>
          <w:i/>
          <w:iCs/>
          <w:sz w:val="24"/>
          <w:szCs w:val="24"/>
        </w:rPr>
        <w:t>předmětný záměr</w:t>
      </w:r>
      <w:r w:rsidRPr="003040F4">
        <w:rPr>
          <w:rFonts w:ascii="Times New Roman" w:hAnsi="Times New Roman" w:cs="Times New Roman"/>
          <w:bCs/>
          <w:sz w:val="24"/>
          <w:szCs w:val="24"/>
        </w:rPr>
        <w:t>“ a „</w:t>
      </w:r>
      <w:r w:rsidRPr="003040F4">
        <w:rPr>
          <w:rFonts w:ascii="Times New Roman" w:hAnsi="Times New Roman" w:cs="Times New Roman"/>
          <w:bCs/>
          <w:i/>
          <w:iCs/>
          <w:sz w:val="24"/>
          <w:szCs w:val="24"/>
        </w:rPr>
        <w:t>stanovisko EIA</w:t>
      </w:r>
      <w:r w:rsidRPr="003040F4">
        <w:rPr>
          <w:rFonts w:ascii="Times New Roman" w:hAnsi="Times New Roman" w:cs="Times New Roman"/>
          <w:bCs/>
          <w:sz w:val="24"/>
          <w:szCs w:val="24"/>
        </w:rPr>
        <w:t>“). Platnost stanoviska EIA byla prodloužena vyjádřením ministerstva dne 2.6.2017 pod č.j. 12846/ENV/17.</w:t>
      </w:r>
      <w:r w:rsidR="003040F4">
        <w:rPr>
          <w:rFonts w:ascii="Times New Roman" w:hAnsi="Times New Roman" w:cs="Times New Roman"/>
          <w:bCs/>
          <w:sz w:val="24"/>
          <w:szCs w:val="24"/>
        </w:rPr>
        <w:t xml:space="preserve"> Už toto první prodloužení je nezákonné, neboť nebyla dodržena zákonná forma vyžadovaná judikaturou správních soudů pro tento akt -tj. závazného stanoviska.</w:t>
      </w:r>
    </w:p>
    <w:p w14:paraId="1C781FB1" w14:textId="77777777" w:rsidR="00912E2D" w:rsidRPr="003040F4" w:rsidRDefault="00912E2D" w:rsidP="003040F4">
      <w:pPr>
        <w:spacing w:after="0"/>
        <w:jc w:val="both"/>
        <w:rPr>
          <w:rFonts w:ascii="Times New Roman" w:hAnsi="Times New Roman" w:cs="Times New Roman"/>
          <w:bCs/>
          <w:sz w:val="24"/>
          <w:szCs w:val="24"/>
        </w:rPr>
      </w:pPr>
    </w:p>
    <w:p w14:paraId="720C95F1" w14:textId="7BE5CE3C" w:rsidR="00912E2D" w:rsidRPr="003040F4" w:rsidRDefault="00912E2D" w:rsidP="00912E2D">
      <w:pPr>
        <w:spacing w:after="0"/>
        <w:ind w:firstLine="708"/>
        <w:jc w:val="both"/>
        <w:rPr>
          <w:rFonts w:ascii="Times New Roman" w:hAnsi="Times New Roman" w:cs="Times New Roman"/>
          <w:bCs/>
          <w:sz w:val="24"/>
          <w:szCs w:val="24"/>
        </w:rPr>
      </w:pPr>
      <w:r w:rsidRPr="003040F4">
        <w:rPr>
          <w:rFonts w:ascii="Times New Roman" w:hAnsi="Times New Roman" w:cs="Times New Roman"/>
          <w:bCs/>
          <w:sz w:val="24"/>
          <w:szCs w:val="24"/>
        </w:rPr>
        <w:t>Dne 20.3.2024 pod č.j. MZP/2021/710/5811 MŽP opětovně prodloužilo platnost stanoviska EIA</w:t>
      </w:r>
      <w:r w:rsidR="003040F4">
        <w:rPr>
          <w:rFonts w:ascii="Times New Roman" w:hAnsi="Times New Roman" w:cs="Times New Roman"/>
          <w:bCs/>
          <w:sz w:val="24"/>
          <w:szCs w:val="24"/>
        </w:rPr>
        <w:t>. T</w:t>
      </w:r>
      <w:r w:rsidRPr="003040F4">
        <w:rPr>
          <w:rFonts w:ascii="Times New Roman" w:hAnsi="Times New Roman" w:cs="Times New Roman"/>
          <w:bCs/>
          <w:sz w:val="24"/>
          <w:szCs w:val="24"/>
        </w:rPr>
        <w:t xml:space="preserve">oto již druhé prodloužení stanoviska EIA je nezákonné a věcně nesprávné. </w:t>
      </w:r>
      <w:r w:rsidR="003040F4">
        <w:rPr>
          <w:rFonts w:ascii="Times New Roman" w:hAnsi="Times New Roman" w:cs="Times New Roman"/>
          <w:bCs/>
          <w:sz w:val="24"/>
          <w:szCs w:val="24"/>
        </w:rPr>
        <w:t>N</w:t>
      </w:r>
      <w:r w:rsidRPr="003040F4">
        <w:rPr>
          <w:rFonts w:ascii="Times New Roman" w:hAnsi="Times New Roman" w:cs="Times New Roman"/>
          <w:bCs/>
          <w:sz w:val="24"/>
          <w:szCs w:val="24"/>
        </w:rPr>
        <w:t xml:space="preserve">ebyly splněny podmínky a nebyly prokázány důvody, pro které může být původnímu stanovisku EIA z roku 2012 již podruhé prodloužena platnost. </w:t>
      </w:r>
    </w:p>
    <w:p w14:paraId="45991639" w14:textId="77777777" w:rsidR="00912E2D" w:rsidRPr="003040F4" w:rsidRDefault="00912E2D" w:rsidP="00912E2D">
      <w:pPr>
        <w:spacing w:after="0"/>
        <w:ind w:firstLine="708"/>
        <w:jc w:val="both"/>
        <w:rPr>
          <w:rFonts w:ascii="Times New Roman" w:hAnsi="Times New Roman" w:cs="Times New Roman"/>
          <w:bCs/>
          <w:sz w:val="24"/>
          <w:szCs w:val="24"/>
        </w:rPr>
      </w:pPr>
    </w:p>
    <w:p w14:paraId="156BBB2E" w14:textId="1739E67E" w:rsidR="00912E2D" w:rsidRPr="003040F4" w:rsidRDefault="00912E2D" w:rsidP="00912E2D">
      <w:pPr>
        <w:spacing w:after="0"/>
        <w:ind w:firstLine="708"/>
        <w:jc w:val="both"/>
        <w:rPr>
          <w:rFonts w:ascii="Times New Roman" w:hAnsi="Times New Roman" w:cs="Times New Roman"/>
          <w:bCs/>
          <w:i/>
          <w:sz w:val="24"/>
          <w:szCs w:val="24"/>
        </w:rPr>
      </w:pPr>
      <w:r w:rsidRPr="003040F4">
        <w:rPr>
          <w:rFonts w:ascii="Times New Roman" w:hAnsi="Times New Roman" w:cs="Times New Roman"/>
          <w:bCs/>
          <w:sz w:val="24"/>
          <w:szCs w:val="24"/>
        </w:rPr>
        <w:t xml:space="preserve">Od doby vydání původního stanoviska EIA před více než </w:t>
      </w:r>
      <w:r w:rsidR="00942EBF" w:rsidRPr="003040F4">
        <w:rPr>
          <w:rFonts w:ascii="Times New Roman" w:hAnsi="Times New Roman" w:cs="Times New Roman"/>
          <w:bCs/>
          <w:sz w:val="24"/>
          <w:szCs w:val="24"/>
        </w:rPr>
        <w:t xml:space="preserve">třinácti </w:t>
      </w:r>
      <w:r w:rsidRPr="003040F4">
        <w:rPr>
          <w:rFonts w:ascii="Times New Roman" w:hAnsi="Times New Roman" w:cs="Times New Roman"/>
          <w:bCs/>
          <w:sz w:val="24"/>
          <w:szCs w:val="24"/>
        </w:rPr>
        <w:t xml:space="preserve">lety (!) došlo ke změnám podmínek v dotčeném území a též poznatků a metod posuzování, v jejichž důsledku by záměr mohl mít dosud neposouzené významné vlivy na životní prostředí. </w:t>
      </w:r>
    </w:p>
    <w:p w14:paraId="60F88EE7" w14:textId="77777777" w:rsidR="00912E2D" w:rsidRPr="003040F4" w:rsidRDefault="00912E2D" w:rsidP="00912E2D">
      <w:pPr>
        <w:spacing w:after="0"/>
        <w:jc w:val="both"/>
        <w:rPr>
          <w:rFonts w:ascii="Times New Roman" w:hAnsi="Times New Roman" w:cs="Times New Roman"/>
          <w:bCs/>
          <w:sz w:val="24"/>
          <w:szCs w:val="24"/>
        </w:rPr>
      </w:pPr>
    </w:p>
    <w:p w14:paraId="6B886C5B" w14:textId="0875C814" w:rsidR="00912E2D" w:rsidRPr="003040F4" w:rsidRDefault="00912E2D" w:rsidP="00912E2D">
      <w:pPr>
        <w:spacing w:after="0"/>
        <w:ind w:firstLine="709"/>
        <w:jc w:val="both"/>
        <w:rPr>
          <w:rFonts w:ascii="Times New Roman" w:hAnsi="Times New Roman" w:cs="Times New Roman"/>
          <w:sz w:val="24"/>
          <w:szCs w:val="24"/>
          <w:lang w:eastAsia="ar-SA"/>
        </w:rPr>
      </w:pPr>
      <w:r w:rsidRPr="003040F4">
        <w:rPr>
          <w:rFonts w:ascii="Times New Roman" w:hAnsi="Times New Roman" w:cs="Times New Roman"/>
          <w:sz w:val="24"/>
          <w:szCs w:val="24"/>
          <w:lang w:eastAsia="ar-SA"/>
        </w:rPr>
        <w:t xml:space="preserve">EIA středočeské D3 vznikla na základě podkladů z období 1960–2010. Dokumentace je z roku 2010 (zveřejněna v lednu 2011). Původní dokumentace obsahuje dnes již neaktuální data o předmětném území a záměru. Aktuálně existují podstatné změny ve stavu životního </w:t>
      </w:r>
      <w:r w:rsidRPr="003040F4">
        <w:rPr>
          <w:rFonts w:ascii="Times New Roman" w:hAnsi="Times New Roman" w:cs="Times New Roman"/>
          <w:sz w:val="24"/>
          <w:szCs w:val="24"/>
          <w:lang w:eastAsia="ar-SA"/>
        </w:rPr>
        <w:lastRenderedPageBreak/>
        <w:t>prostředí, ve stupni poznání a metodiky. Aktuálně existují nové problémy, na které původní EIA pochopitelně nereaguje.</w:t>
      </w:r>
    </w:p>
    <w:p w14:paraId="16A16EBB" w14:textId="77777777" w:rsidR="00912E2D" w:rsidRPr="003040F4" w:rsidRDefault="00912E2D" w:rsidP="00912E2D">
      <w:pPr>
        <w:spacing w:after="0"/>
        <w:ind w:firstLine="709"/>
        <w:jc w:val="both"/>
        <w:rPr>
          <w:rFonts w:ascii="Times New Roman" w:hAnsi="Times New Roman" w:cs="Times New Roman"/>
          <w:sz w:val="24"/>
          <w:szCs w:val="24"/>
          <w:lang w:eastAsia="ar-SA"/>
        </w:rPr>
      </w:pPr>
    </w:p>
    <w:p w14:paraId="0B8C4737" w14:textId="660A4831" w:rsidR="00912E2D" w:rsidRPr="003040F4" w:rsidRDefault="003414CF" w:rsidP="00912E2D">
      <w:pPr>
        <w:spacing w:after="0"/>
        <w:ind w:firstLine="709"/>
        <w:jc w:val="both"/>
        <w:rPr>
          <w:rFonts w:ascii="Times New Roman" w:hAnsi="Times New Roman" w:cs="Times New Roman"/>
          <w:sz w:val="24"/>
          <w:szCs w:val="24"/>
          <w:lang w:eastAsia="ar-SA"/>
        </w:rPr>
      </w:pPr>
      <w:r w:rsidRPr="003040F4">
        <w:rPr>
          <w:rFonts w:ascii="Times New Roman" w:hAnsi="Times New Roman" w:cs="Times New Roman"/>
          <w:sz w:val="24"/>
          <w:szCs w:val="24"/>
          <w:lang w:eastAsia="ar-SA"/>
        </w:rPr>
        <w:t xml:space="preserve">Úmysl </w:t>
      </w:r>
      <w:r w:rsidR="00912E2D" w:rsidRPr="003040F4">
        <w:rPr>
          <w:rFonts w:ascii="Times New Roman" w:hAnsi="Times New Roman" w:cs="Times New Roman"/>
          <w:sz w:val="24"/>
          <w:szCs w:val="24"/>
          <w:lang w:eastAsia="ar-SA"/>
        </w:rPr>
        <w:t xml:space="preserve">zákonodárce, vyjádřený aktuální podobou </w:t>
      </w:r>
      <w:r w:rsidRPr="003040F4">
        <w:rPr>
          <w:rFonts w:ascii="Times New Roman" w:hAnsi="Times New Roman" w:cs="Times New Roman"/>
          <w:sz w:val="24"/>
          <w:szCs w:val="24"/>
          <w:lang w:eastAsia="ar-SA"/>
        </w:rPr>
        <w:t xml:space="preserve">§ 9a odst. 4 zákona č. 100/2001 Sb., podle kterého je opakované prodloužení platnosti stanoviska EIA vyloučeno, má své jasné a logické zdůvodnění. </w:t>
      </w:r>
      <w:r w:rsidR="00575F4F" w:rsidRPr="003040F4">
        <w:rPr>
          <w:rFonts w:ascii="Times New Roman" w:hAnsi="Times New Roman" w:cs="Times New Roman"/>
          <w:sz w:val="24"/>
          <w:szCs w:val="24"/>
          <w:lang w:eastAsia="ar-SA"/>
        </w:rPr>
        <w:t xml:space="preserve">MŽP navíc rozhodlo o prodloužení platnosti stanoviska EIA pouze částečně, ve variantě západního koridoru. Takový </w:t>
      </w:r>
      <w:r w:rsidR="002975CF" w:rsidRPr="003040F4">
        <w:rPr>
          <w:rFonts w:ascii="Times New Roman" w:hAnsi="Times New Roman" w:cs="Times New Roman"/>
          <w:sz w:val="24"/>
          <w:szCs w:val="24"/>
          <w:lang w:eastAsia="ar-SA"/>
        </w:rPr>
        <w:t>postup</w:t>
      </w:r>
      <w:r w:rsidR="00575F4F" w:rsidRPr="003040F4">
        <w:rPr>
          <w:rFonts w:ascii="Times New Roman" w:hAnsi="Times New Roman" w:cs="Times New Roman"/>
          <w:sz w:val="24"/>
          <w:szCs w:val="24"/>
          <w:lang w:eastAsia="ar-SA"/>
        </w:rPr>
        <w:t xml:space="preserve"> je nezákonný a věcně nesprávný – absencí porovnání aktuálního posouzení s východním koridorem nemohlo dojít k adekvátnímu hodnocení přijatelnosti obou variant a </w:t>
      </w:r>
      <w:r w:rsidR="002975CF" w:rsidRPr="003040F4">
        <w:rPr>
          <w:rFonts w:ascii="Times New Roman" w:hAnsi="Times New Roman" w:cs="Times New Roman"/>
          <w:sz w:val="24"/>
          <w:szCs w:val="24"/>
          <w:lang w:eastAsia="ar-SA"/>
        </w:rPr>
        <w:t>jejich pořadí z hlediska vlivů na životní prostředí.</w:t>
      </w:r>
    </w:p>
    <w:p w14:paraId="5EC1D280" w14:textId="77777777" w:rsidR="003414CF" w:rsidRPr="003040F4" w:rsidRDefault="003414CF" w:rsidP="00912E2D">
      <w:pPr>
        <w:spacing w:after="0"/>
        <w:ind w:firstLine="709"/>
        <w:jc w:val="both"/>
        <w:rPr>
          <w:rFonts w:ascii="Times New Roman" w:hAnsi="Times New Roman" w:cs="Times New Roman"/>
          <w:sz w:val="24"/>
          <w:szCs w:val="24"/>
          <w:lang w:eastAsia="ar-SA"/>
        </w:rPr>
      </w:pPr>
    </w:p>
    <w:p w14:paraId="6491B4DA" w14:textId="3CD40A32" w:rsidR="003414CF" w:rsidRPr="003040F4" w:rsidRDefault="003414CF" w:rsidP="00912E2D">
      <w:pPr>
        <w:spacing w:after="0"/>
        <w:ind w:firstLine="709"/>
        <w:jc w:val="both"/>
        <w:rPr>
          <w:rFonts w:ascii="Times New Roman" w:hAnsi="Times New Roman" w:cs="Times New Roman"/>
          <w:sz w:val="24"/>
          <w:szCs w:val="24"/>
          <w:lang w:eastAsia="ar-SA"/>
        </w:rPr>
      </w:pPr>
      <w:r w:rsidRPr="003040F4">
        <w:rPr>
          <w:rFonts w:ascii="Times New Roman" w:hAnsi="Times New Roman" w:cs="Times New Roman"/>
          <w:sz w:val="24"/>
          <w:szCs w:val="24"/>
          <w:lang w:eastAsia="ar-SA"/>
        </w:rPr>
        <w:t>Jednotlivé podkladové studie v procesu EIA, mají zásadně podhodnoceny intenzity dopravy zejména na jižní části silničního okruhu kolem Prahy, ale i na dalších pozemních komunikacích a s nárůstem suburbanizační dopravy nepočítají vůbec. Tomu samozřejmě odpovídá i nepoužitelnost výsledku podkladových studií, zejména hlukové studie a imisní studie.</w:t>
      </w:r>
    </w:p>
    <w:p w14:paraId="30FEFD6E" w14:textId="77777777" w:rsidR="00B45FC7" w:rsidRPr="003040F4" w:rsidRDefault="00B45FC7" w:rsidP="00912E2D">
      <w:pPr>
        <w:spacing w:after="0"/>
        <w:ind w:firstLine="709"/>
        <w:jc w:val="both"/>
        <w:rPr>
          <w:rFonts w:ascii="Times New Roman" w:hAnsi="Times New Roman" w:cs="Times New Roman"/>
          <w:sz w:val="24"/>
          <w:szCs w:val="24"/>
          <w:lang w:eastAsia="ar-SA"/>
        </w:rPr>
      </w:pPr>
    </w:p>
    <w:p w14:paraId="34BEC2AB" w14:textId="24095B23" w:rsidR="00B45FC7" w:rsidRPr="003040F4" w:rsidRDefault="00B45FC7" w:rsidP="00B45FC7">
      <w:pPr>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lang w:eastAsia="hi-IN" w:bidi="hi-IN"/>
        </w:rPr>
        <w:t>V oblasti hydrologie byly zjištěny nové závažné poznatky, které vyšly najevo až po procesu EIA, ve kterém bylo stanovisko EIA vydáno. V</w:t>
      </w:r>
      <w:r w:rsidRPr="003040F4">
        <w:rPr>
          <w:rFonts w:ascii="Times New Roman" w:hAnsi="Times New Roman" w:cs="Times New Roman"/>
          <w:sz w:val="24"/>
          <w:szCs w:val="24"/>
        </w:rPr>
        <w:t xml:space="preserve"> průběhu 2020 – 2022 (tedy po vydání stanoviska EIA i jeho prodloužení v roce 2017) se provádělo měření stavu podzemních vod v trase dálnice. Tato skutečnost se měla zohlednit v novém procesu EIA, protože přináší nová závažná data.</w:t>
      </w:r>
      <w:r w:rsidRPr="003040F4">
        <w:rPr>
          <w:rFonts w:ascii="Times New Roman" w:hAnsi="Times New Roman" w:cs="Times New Roman"/>
          <w:sz w:val="24"/>
          <w:szCs w:val="24"/>
          <w:lang w:eastAsia="hi-IN" w:bidi="hi-IN"/>
        </w:rPr>
        <w:t xml:space="preserve"> </w:t>
      </w:r>
      <w:r w:rsidRPr="003040F4">
        <w:rPr>
          <w:rFonts w:ascii="Times New Roman" w:hAnsi="Times New Roman" w:cs="Times New Roman"/>
          <w:sz w:val="24"/>
          <w:szCs w:val="24"/>
        </w:rPr>
        <w:t>Výše uvedené měření se provádělo pouze roky, což ale nemůže dobře ukázat na trend do budoucna na dobu používání dálnice (je to málo). Toto období by se mělo prodloužit, sledovat podzemní vodu déle a dobře modelovat trend. Toto by pak měla nová EIA posoudit a zohlednit. Opět, výše uvedený argument podporuje provedení nového zjišťovacího řízení, ve kterém budou data z nových měření zohledněna a posouzena.</w:t>
      </w:r>
    </w:p>
    <w:p w14:paraId="29E1AFC8" w14:textId="77777777" w:rsidR="00B45FC7" w:rsidRPr="003040F4" w:rsidRDefault="00B45FC7" w:rsidP="00B45FC7">
      <w:pPr>
        <w:spacing w:after="0"/>
        <w:ind w:firstLine="708"/>
        <w:jc w:val="both"/>
        <w:rPr>
          <w:rFonts w:ascii="Times New Roman" w:hAnsi="Times New Roman" w:cs="Times New Roman"/>
          <w:sz w:val="24"/>
          <w:szCs w:val="24"/>
        </w:rPr>
      </w:pPr>
    </w:p>
    <w:p w14:paraId="624BB854" w14:textId="3E88B65E" w:rsidR="00B45FC7" w:rsidRPr="003040F4" w:rsidRDefault="00B45FC7" w:rsidP="00B45FC7">
      <w:pPr>
        <w:spacing w:after="0"/>
        <w:ind w:firstLine="708"/>
        <w:jc w:val="both"/>
        <w:rPr>
          <w:rFonts w:ascii="Times New Roman" w:hAnsi="Times New Roman" w:cs="Times New Roman"/>
          <w:sz w:val="24"/>
          <w:szCs w:val="24"/>
          <w:lang w:eastAsia="hi-IN" w:bidi="hi-IN"/>
        </w:rPr>
      </w:pPr>
      <w:r w:rsidRPr="003040F4">
        <w:rPr>
          <w:rFonts w:ascii="Times New Roman" w:hAnsi="Times New Roman" w:cs="Times New Roman"/>
          <w:sz w:val="24"/>
          <w:szCs w:val="24"/>
          <w:lang w:eastAsia="hi-IN" w:bidi="hi-IN"/>
        </w:rPr>
        <w:t>Dále účastní</w:t>
      </w:r>
      <w:r w:rsidR="00442AAC" w:rsidRPr="003040F4">
        <w:rPr>
          <w:rFonts w:ascii="Times New Roman" w:hAnsi="Times New Roman" w:cs="Times New Roman"/>
          <w:sz w:val="24"/>
          <w:szCs w:val="24"/>
          <w:lang w:eastAsia="hi-IN" w:bidi="hi-IN"/>
        </w:rPr>
        <w:t>ci</w:t>
      </w:r>
      <w:r w:rsidRPr="003040F4">
        <w:rPr>
          <w:rFonts w:ascii="Times New Roman" w:hAnsi="Times New Roman" w:cs="Times New Roman"/>
          <w:sz w:val="24"/>
          <w:szCs w:val="24"/>
          <w:lang w:eastAsia="hi-IN" w:bidi="hi-IN"/>
        </w:rPr>
        <w:t xml:space="preserve"> namít</w:t>
      </w:r>
      <w:r w:rsidR="00442AAC" w:rsidRPr="003040F4">
        <w:rPr>
          <w:rFonts w:ascii="Times New Roman" w:hAnsi="Times New Roman" w:cs="Times New Roman"/>
          <w:sz w:val="24"/>
          <w:szCs w:val="24"/>
          <w:lang w:eastAsia="hi-IN" w:bidi="hi-IN"/>
        </w:rPr>
        <w:t>ají</w:t>
      </w:r>
      <w:r w:rsidRPr="003040F4">
        <w:rPr>
          <w:rFonts w:ascii="Times New Roman" w:hAnsi="Times New Roman" w:cs="Times New Roman"/>
          <w:sz w:val="24"/>
          <w:szCs w:val="24"/>
          <w:lang w:eastAsia="hi-IN" w:bidi="hi-IN"/>
        </w:rPr>
        <w:t>, že je zde významný rozdíl ve výměře zemědělské půdy, od vydání stanoviska EIA došlo k jejímu významnému úbytku v lokalitě pro umístění záměru liniové stavby dálnice D3. Změnily se základní charakteristiky přírodních poměrů zájmového území – fauna, flor a ekosystémy. Je zde významná změna ve stavu osídlení území, od vydání stanoviska EIA v roce 2012, v lokalitě pro umístění záměru liniové stavby dálnice D3. Je zde významná změna v intenzitě dopravy a hlukovém zatížení od vydání stanoviska EIA v roce 2012, v lokalitě pro umístění záměru liniové stavby dálnice D3.</w:t>
      </w:r>
    </w:p>
    <w:p w14:paraId="77529BC2" w14:textId="77777777" w:rsidR="00BE48D4" w:rsidRPr="003040F4" w:rsidRDefault="00BE48D4" w:rsidP="00912E2D">
      <w:pPr>
        <w:spacing w:after="0"/>
        <w:ind w:firstLine="709"/>
        <w:jc w:val="both"/>
        <w:rPr>
          <w:rFonts w:ascii="Times New Roman" w:hAnsi="Times New Roman" w:cs="Times New Roman"/>
          <w:sz w:val="24"/>
          <w:szCs w:val="24"/>
          <w:lang w:eastAsia="ar-SA"/>
        </w:rPr>
      </w:pPr>
    </w:p>
    <w:p w14:paraId="6A078BB1" w14:textId="77777777" w:rsidR="00575F4F" w:rsidRPr="003040F4" w:rsidRDefault="00BE48D4" w:rsidP="00575F4F">
      <w:pPr>
        <w:tabs>
          <w:tab w:val="left" w:pos="0"/>
        </w:tabs>
        <w:spacing w:after="0"/>
        <w:jc w:val="both"/>
        <w:rPr>
          <w:rFonts w:ascii="Times New Roman" w:eastAsia="Calibri" w:hAnsi="Times New Roman" w:cs="Times New Roman"/>
          <w:sz w:val="24"/>
          <w:szCs w:val="24"/>
        </w:rPr>
      </w:pPr>
      <w:r w:rsidRPr="003040F4">
        <w:rPr>
          <w:rFonts w:ascii="Times New Roman" w:eastAsia="Calibri" w:hAnsi="Times New Roman" w:cs="Times New Roman"/>
          <w:sz w:val="24"/>
          <w:szCs w:val="24"/>
        </w:rPr>
        <w:tab/>
      </w:r>
      <w:r w:rsidR="00B45FC7" w:rsidRPr="003040F4">
        <w:rPr>
          <w:rFonts w:ascii="Times New Roman" w:eastAsia="Calibri" w:hAnsi="Times New Roman" w:cs="Times New Roman"/>
          <w:sz w:val="24"/>
          <w:szCs w:val="24"/>
        </w:rPr>
        <w:t xml:space="preserve">Původní stanovisko EIA je nezákonné a věcně nesprávné. </w:t>
      </w:r>
      <w:r w:rsidR="00575F4F" w:rsidRPr="003040F4">
        <w:rPr>
          <w:rFonts w:ascii="Times New Roman" w:eastAsia="Calibri" w:hAnsi="Times New Roman" w:cs="Times New Roman"/>
          <w:sz w:val="24"/>
          <w:szCs w:val="24"/>
        </w:rPr>
        <w:t xml:space="preserve">Posudek byl v roce 2011 zpracováván na základě údajů z roku 2007. V mezidobí došlo k významné obytné výstavbě v dotčené oblasti a především ke zprovoznění Silničního okruhu kolem Prahy. Posouzení vlivů na životní prostředí zakončené stanoviskem EIA nesplnilo požadavky na posouzení kumulativních a synergických vlivů. Ty přitom u záměru dálnice D3 připadají v úvahu zejména s Koridorem pro umístění stavby Vestecké spojky, Silničním okruhem kolem Prahy (SOKP), IV. železničním koridorem, Koridorem pro umístnění stavby přeložky a obchvatů silnice I/3 a obchvaty obcí. </w:t>
      </w:r>
    </w:p>
    <w:p w14:paraId="5A7573DB" w14:textId="77777777" w:rsidR="00575F4F" w:rsidRPr="003040F4" w:rsidRDefault="00575F4F" w:rsidP="00575F4F">
      <w:pPr>
        <w:tabs>
          <w:tab w:val="left" w:pos="0"/>
        </w:tabs>
        <w:spacing w:after="0"/>
        <w:jc w:val="both"/>
        <w:rPr>
          <w:rFonts w:ascii="Times New Roman" w:eastAsia="Calibri" w:hAnsi="Times New Roman" w:cs="Times New Roman"/>
          <w:sz w:val="24"/>
          <w:szCs w:val="24"/>
        </w:rPr>
      </w:pPr>
    </w:p>
    <w:p w14:paraId="26ED00FF" w14:textId="3C034543" w:rsidR="00912E2D" w:rsidRPr="003040F4" w:rsidRDefault="00575F4F" w:rsidP="0031730C">
      <w:pPr>
        <w:tabs>
          <w:tab w:val="left" w:pos="0"/>
        </w:tabs>
        <w:spacing w:after="0"/>
        <w:jc w:val="both"/>
        <w:rPr>
          <w:rFonts w:ascii="Times New Roman" w:eastAsia="Calibri" w:hAnsi="Times New Roman" w:cs="Times New Roman"/>
          <w:sz w:val="24"/>
          <w:szCs w:val="24"/>
        </w:rPr>
      </w:pPr>
      <w:r w:rsidRPr="003040F4">
        <w:rPr>
          <w:rFonts w:ascii="Times New Roman" w:eastAsia="Calibri" w:hAnsi="Times New Roman" w:cs="Times New Roman"/>
          <w:sz w:val="24"/>
          <w:szCs w:val="24"/>
        </w:rPr>
        <w:tab/>
        <w:t xml:space="preserve">Posudek EIA naprosto nepřijatelným způsobem, který je v rozporu s § 1 zákona EIA, odsouvá do další fáze projektové přípravy zjištěná překročení hygienických limitů hluku (viz. návrh stanoviska, str. 342 posudku). Je naprosto nepřijatelné, aby posudkář zaměňoval fakt „překračování hygienických limitů hluku“ za pouhou „identifikaci problémových oblastí“. </w:t>
      </w:r>
      <w:r w:rsidRPr="003040F4">
        <w:rPr>
          <w:rFonts w:ascii="Times New Roman" w:eastAsia="Calibri" w:hAnsi="Times New Roman" w:cs="Times New Roman"/>
          <w:sz w:val="24"/>
          <w:szCs w:val="24"/>
        </w:rPr>
        <w:lastRenderedPageBreak/>
        <w:t>Stanovisko tento přístup přejímá a hluk upravuje pouze v obecně formulovaných podmínkách č. 15-21.</w:t>
      </w:r>
      <w:r w:rsidRPr="003040F4">
        <w:rPr>
          <w:rFonts w:ascii="Times New Roman" w:hAnsi="Times New Roman" w:cs="Times New Roman"/>
          <w:sz w:val="24"/>
          <w:szCs w:val="24"/>
        </w:rPr>
        <w:t xml:space="preserve"> </w:t>
      </w:r>
      <w:r w:rsidRPr="003040F4">
        <w:rPr>
          <w:rFonts w:ascii="Times New Roman" w:eastAsia="Calibri" w:hAnsi="Times New Roman" w:cs="Times New Roman"/>
          <w:sz w:val="24"/>
          <w:szCs w:val="24"/>
        </w:rPr>
        <w:t>Z dokumentace EIA a rozptylové studie je patrné, že může docházet k překračování denních imisních limitů pro prachové částice PM 10 (str. 246 – 247 dokumentace). Uvedená zjištění byla namísto navržení dalších zmírňujících opatření bagatelizována údajnou nulovou vypovídací schopností tohoto ukazatele. Zároveň chybělo posouzení imisního zatížení v místech zaústění portálů tunelů (předpoklad až 20 µg/m3, což je polovina imisního limitu; tedy bez započtení dalších zdrojů a imisního pozadí) a předpokládaného vyústění výdechů z tunelů na povrchu (str. 279, 285). Toto posouzení nelze odsouvat do dalších fází projektové přípravy, po konečném rozhodnutí o výběru varianty. Absence podrobného posouzení, včetně návrhů zmírňujících opatření, je v rozporu se závěry zjišťovacího řízení, které požaduje cit: „zpracovat rozptylovou a hlukovou studii (…), výsledné hodnoty porovnat se zákonnými předpisy, navrhnout konkrétní, účinná a komplexní opatření ke snížení zátěže na životní prostředí a veřejné zdraví, včetně návrhu kompenzačních opatření“ (str. 2, bod ochrana ovzduší). Posudek EIA navíc přiznal, že z rozptylové studie není patrné, pro jakou návrhovou rychlost byla zpracována, což vedlo ke značnému zkreslení údajů. Dokumentace EIA uváděla, že jako doprovodná komunikace pro nestandardní situace má sloužit pro obě varianty dálnice D1 a silnice I/3 (str. 87). Zatímco u východního koridoru je to logické, u západního je tento úsudek zcela pochybný, vzhledem k vzdálenosti mezi těmito komunikacemi a blízkostí jiné severojižní komunikace – II/105, která je však jako doprovodná komunikace zcela nevyhovující. Úsudek zpracovatele dokumentace EIA, který je v rozporu se závěry skupiny odborníků ustavené na základě usnesení vlády č. 1064/2007, není podložen žádnými argumenty a jeví se jako tendenční snaha o vylepšení pozice západní varianty, která trpí deficitem nevyhovující doprovodné komunikace v podobě II/105.</w:t>
      </w:r>
      <w:r w:rsidR="00942EBF" w:rsidRPr="003040F4">
        <w:rPr>
          <w:rFonts w:ascii="Times New Roman" w:eastAsia="Calibri" w:hAnsi="Times New Roman" w:cs="Times New Roman"/>
          <w:sz w:val="24"/>
          <w:szCs w:val="24"/>
        </w:rPr>
        <w:t xml:space="preserve"> EIA nemohla posoudit nový imisní limit pro prachové částice</w:t>
      </w:r>
      <w:r w:rsidR="00E1608F" w:rsidRPr="003040F4">
        <w:rPr>
          <w:rFonts w:ascii="Times New Roman" w:eastAsia="Calibri" w:hAnsi="Times New Roman" w:cs="Times New Roman"/>
          <w:sz w:val="24"/>
          <w:szCs w:val="24"/>
        </w:rPr>
        <w:t>. V roce 2020 vstoupil v souvislosti s právními předpisy EU a novelou zákona o ovzduší č. 369/2016 Sb. v platnost přísnější imisní limit 20 μg∙m−3 pro roční průměrnou koncentraci PM2,5.</w:t>
      </w:r>
    </w:p>
    <w:p w14:paraId="0853F8CF" w14:textId="77777777" w:rsidR="002D04C8" w:rsidRPr="003040F4" w:rsidRDefault="002D04C8" w:rsidP="0031730C">
      <w:pPr>
        <w:tabs>
          <w:tab w:val="left" w:pos="0"/>
        </w:tabs>
        <w:spacing w:after="0"/>
        <w:jc w:val="both"/>
        <w:rPr>
          <w:rFonts w:ascii="Times New Roman" w:eastAsia="Calibri" w:hAnsi="Times New Roman" w:cs="Times New Roman"/>
          <w:sz w:val="24"/>
          <w:szCs w:val="24"/>
        </w:rPr>
      </w:pPr>
    </w:p>
    <w:p w14:paraId="067E189C" w14:textId="58467F58" w:rsidR="002D04C8" w:rsidRPr="003040F4" w:rsidRDefault="002D04C8" w:rsidP="002D04C8">
      <w:pPr>
        <w:tabs>
          <w:tab w:val="left" w:pos="0"/>
        </w:tabs>
        <w:spacing w:after="0"/>
        <w:jc w:val="both"/>
        <w:rPr>
          <w:rFonts w:ascii="Times New Roman" w:eastAsia="Calibri" w:hAnsi="Times New Roman" w:cs="Times New Roman"/>
          <w:sz w:val="24"/>
          <w:szCs w:val="24"/>
        </w:rPr>
      </w:pPr>
      <w:r w:rsidRPr="003040F4">
        <w:rPr>
          <w:rFonts w:ascii="Times New Roman" w:eastAsia="Calibri" w:hAnsi="Times New Roman" w:cs="Times New Roman"/>
          <w:sz w:val="24"/>
          <w:szCs w:val="24"/>
        </w:rPr>
        <w:tab/>
        <w:t>Dokumentace EIA uváděla záměr jako rychlostní silnici s návrhovou rychlostí 120 km/h. Dnes je v dokumentaci DUR dálnice vedená jako dálnice s rychlostí 130 km/h. To pochopitelně přináší zvýšení řad</w:t>
      </w:r>
      <w:r w:rsidR="00E1608F" w:rsidRPr="003040F4">
        <w:rPr>
          <w:rFonts w:ascii="Times New Roman" w:eastAsia="Calibri" w:hAnsi="Times New Roman" w:cs="Times New Roman"/>
          <w:sz w:val="24"/>
          <w:szCs w:val="24"/>
        </w:rPr>
        <w:t>y</w:t>
      </w:r>
      <w:r w:rsidRPr="003040F4">
        <w:rPr>
          <w:rFonts w:ascii="Times New Roman" w:eastAsia="Calibri" w:hAnsi="Times New Roman" w:cs="Times New Roman"/>
          <w:sz w:val="24"/>
          <w:szCs w:val="24"/>
        </w:rPr>
        <w:t xml:space="preserve"> důsledků pro ŽP, např. vyšší hlučnost a emise z provozu. Prognózy dopravy v EIA (2011) a DUR (2016) aj. souvisejících záměrech se značně liší, což snižuje důvěryhodnost těchto údajů dodaných investorem záměru. Účastní</w:t>
      </w:r>
      <w:r w:rsidR="00442AAC" w:rsidRPr="003040F4">
        <w:rPr>
          <w:rFonts w:ascii="Times New Roman" w:eastAsia="Calibri" w:hAnsi="Times New Roman" w:cs="Times New Roman"/>
          <w:sz w:val="24"/>
          <w:szCs w:val="24"/>
        </w:rPr>
        <w:t>ci</w:t>
      </w:r>
      <w:r w:rsidRPr="003040F4">
        <w:rPr>
          <w:rFonts w:ascii="Times New Roman" w:eastAsia="Calibri" w:hAnsi="Times New Roman" w:cs="Times New Roman"/>
          <w:sz w:val="24"/>
          <w:szCs w:val="24"/>
        </w:rPr>
        <w:t xml:space="preserve"> požaduj</w:t>
      </w:r>
      <w:r w:rsidR="00442AAC" w:rsidRPr="003040F4">
        <w:rPr>
          <w:rFonts w:ascii="Times New Roman" w:eastAsia="Calibri" w:hAnsi="Times New Roman" w:cs="Times New Roman"/>
          <w:sz w:val="24"/>
          <w:szCs w:val="24"/>
        </w:rPr>
        <w:t>í</w:t>
      </w:r>
      <w:r w:rsidRPr="003040F4">
        <w:rPr>
          <w:rFonts w:ascii="Times New Roman" w:eastAsia="Calibri" w:hAnsi="Times New Roman" w:cs="Times New Roman"/>
          <w:sz w:val="24"/>
          <w:szCs w:val="24"/>
        </w:rPr>
        <w:t xml:space="preserve"> zpracování nových podkladových studií s posouzením intenzit dopravy a jejich prognózy pro různé variantní situace.</w:t>
      </w:r>
    </w:p>
    <w:p w14:paraId="038466DD" w14:textId="77777777" w:rsidR="00E1608F" w:rsidRPr="003040F4" w:rsidRDefault="00E1608F" w:rsidP="002D04C8">
      <w:pPr>
        <w:tabs>
          <w:tab w:val="left" w:pos="0"/>
        </w:tabs>
        <w:spacing w:after="0"/>
        <w:jc w:val="both"/>
        <w:rPr>
          <w:rFonts w:ascii="Times New Roman" w:eastAsia="Calibri" w:hAnsi="Times New Roman" w:cs="Times New Roman"/>
          <w:sz w:val="24"/>
          <w:szCs w:val="24"/>
        </w:rPr>
      </w:pPr>
    </w:p>
    <w:p w14:paraId="631FD8A2" w14:textId="0E030F5C" w:rsidR="00E1608F" w:rsidRPr="003040F4" w:rsidRDefault="00E1608F" w:rsidP="002D04C8">
      <w:pPr>
        <w:tabs>
          <w:tab w:val="left" w:pos="0"/>
        </w:tabs>
        <w:spacing w:after="0"/>
        <w:jc w:val="both"/>
        <w:rPr>
          <w:rFonts w:ascii="Times New Roman" w:eastAsia="Arial Unicode MS" w:hAnsi="Times New Roman" w:cs="Times New Roman"/>
          <w:bCs/>
          <w:kern w:val="1"/>
          <w:sz w:val="24"/>
          <w:szCs w:val="24"/>
          <w:lang w:eastAsia="cs-CZ" w:bidi="hi-IN"/>
        </w:rPr>
      </w:pPr>
      <w:r w:rsidRPr="003040F4">
        <w:rPr>
          <w:rFonts w:ascii="Times New Roman" w:eastAsia="Calibri" w:hAnsi="Times New Roman" w:cs="Times New Roman"/>
          <w:sz w:val="24"/>
          <w:szCs w:val="24"/>
        </w:rPr>
        <w:tab/>
      </w:r>
      <w:r w:rsidR="006A2D10" w:rsidRPr="003040F4">
        <w:rPr>
          <w:rFonts w:ascii="Times New Roman" w:eastAsia="Calibri" w:hAnsi="Times New Roman" w:cs="Times New Roman"/>
          <w:sz w:val="24"/>
          <w:szCs w:val="24"/>
        </w:rPr>
        <w:t>V</w:t>
      </w:r>
      <w:r w:rsidR="006A2D10" w:rsidRPr="003040F4">
        <w:rPr>
          <w:rFonts w:ascii="Times New Roman" w:eastAsia="Arial Unicode MS" w:hAnsi="Times New Roman" w:cs="Times New Roman"/>
          <w:kern w:val="1"/>
          <w:sz w:val="24"/>
          <w:szCs w:val="24"/>
          <w:lang w:eastAsia="cs-CZ" w:bidi="hi-IN"/>
        </w:rPr>
        <w:t xml:space="preserve"> řízení absentuje tzv. verifikační stanovisko EIA. Z probíhajícího</w:t>
      </w:r>
      <w:r w:rsidR="006A2D10" w:rsidRPr="003040F4">
        <w:rPr>
          <w:rFonts w:ascii="Times New Roman" w:eastAsia="Arial Unicode MS" w:hAnsi="Times New Roman" w:cs="Times New Roman"/>
          <w:bCs/>
          <w:kern w:val="1"/>
          <w:sz w:val="24"/>
          <w:szCs w:val="24"/>
          <w:lang w:eastAsia="cs-CZ" w:bidi="hi-IN"/>
        </w:rPr>
        <w:t xml:space="preserve"> řízení je zřejmé, že žadatel o územní rozhodnutí ke dni podání zadosti o územní rozhodnutí nepožádal o tzv. verifikační stanovisko, tj. že nebylo postupováno podle § 9a odst. 6 zákona č. 100/2001 Sb.</w:t>
      </w:r>
    </w:p>
    <w:p w14:paraId="5C8B149B" w14:textId="77777777" w:rsidR="00F903A7" w:rsidRPr="003040F4" w:rsidRDefault="00F903A7" w:rsidP="002D04C8">
      <w:pPr>
        <w:tabs>
          <w:tab w:val="left" w:pos="0"/>
        </w:tabs>
        <w:spacing w:after="0"/>
        <w:jc w:val="both"/>
        <w:rPr>
          <w:rFonts w:ascii="Times New Roman" w:eastAsia="Arial Unicode MS" w:hAnsi="Times New Roman" w:cs="Times New Roman"/>
          <w:bCs/>
          <w:kern w:val="1"/>
          <w:sz w:val="24"/>
          <w:szCs w:val="24"/>
          <w:lang w:eastAsia="cs-CZ" w:bidi="hi-IN"/>
        </w:rPr>
      </w:pPr>
    </w:p>
    <w:p w14:paraId="14EE7D8C" w14:textId="1C172AE4" w:rsidR="00F903A7" w:rsidRPr="003040F4" w:rsidRDefault="00F903A7" w:rsidP="00F903A7">
      <w:pPr>
        <w:tabs>
          <w:tab w:val="left" w:pos="0"/>
        </w:tabs>
        <w:spacing w:after="0"/>
        <w:jc w:val="both"/>
        <w:rPr>
          <w:rFonts w:ascii="Times New Roman" w:eastAsia="Calibri" w:hAnsi="Times New Roman" w:cs="Times New Roman"/>
          <w:sz w:val="24"/>
          <w:szCs w:val="24"/>
        </w:rPr>
      </w:pPr>
      <w:r w:rsidRPr="003040F4">
        <w:rPr>
          <w:rFonts w:ascii="Times New Roman" w:eastAsia="Calibri" w:hAnsi="Times New Roman" w:cs="Times New Roman"/>
          <w:sz w:val="24"/>
          <w:szCs w:val="24"/>
        </w:rPr>
        <w:tab/>
      </w:r>
      <w:r w:rsidR="003040F4">
        <w:rPr>
          <w:rFonts w:ascii="Times New Roman" w:eastAsia="Calibri" w:hAnsi="Times New Roman" w:cs="Times New Roman"/>
          <w:sz w:val="24"/>
          <w:szCs w:val="24"/>
        </w:rPr>
        <w:t xml:space="preserve">Shora nadepsaný účastník dále zdůrazňuje, </w:t>
      </w:r>
      <w:r w:rsidRPr="003040F4">
        <w:rPr>
          <w:rFonts w:ascii="Times New Roman" w:eastAsia="Calibri" w:hAnsi="Times New Roman" w:cs="Times New Roman"/>
          <w:sz w:val="24"/>
          <w:szCs w:val="24"/>
        </w:rPr>
        <w:t>že nyní v územním řízení posuzovaný záměr doznal zásadních změn oproti posouzení v procesu EIA</w:t>
      </w:r>
      <w:r w:rsidR="001879A5" w:rsidRPr="003040F4">
        <w:rPr>
          <w:rFonts w:ascii="Times New Roman" w:eastAsia="Calibri" w:hAnsi="Times New Roman" w:cs="Times New Roman"/>
          <w:sz w:val="24"/>
          <w:szCs w:val="24"/>
        </w:rPr>
        <w:t>, a proto by verifikační stanovisko nemělo být vydáno.</w:t>
      </w:r>
    </w:p>
    <w:p w14:paraId="3392442C" w14:textId="77777777" w:rsidR="00BE70B4" w:rsidRPr="003040F4" w:rsidRDefault="00BE70B4" w:rsidP="00E91AA7">
      <w:pPr>
        <w:widowControl w:val="0"/>
        <w:suppressAutoHyphens/>
        <w:autoSpaceDE w:val="0"/>
        <w:autoSpaceDN w:val="0"/>
        <w:adjustRightInd w:val="0"/>
        <w:spacing w:after="0"/>
        <w:jc w:val="both"/>
        <w:rPr>
          <w:rFonts w:ascii="Times New Roman" w:eastAsia="Times New Roman" w:hAnsi="Times New Roman" w:cs="Times New Roman"/>
          <w:bCs/>
          <w:kern w:val="24"/>
          <w:sz w:val="24"/>
          <w:szCs w:val="24"/>
          <w:lang w:eastAsia="cs-CZ"/>
        </w:rPr>
      </w:pPr>
    </w:p>
    <w:p w14:paraId="09D7E826" w14:textId="2D0335C9" w:rsidR="00E1608F" w:rsidRPr="00C169C2" w:rsidRDefault="00C169C2" w:rsidP="00C169C2">
      <w:pPr>
        <w:widowControl w:val="0"/>
        <w:suppressAutoHyphens/>
        <w:autoSpaceDE w:val="0"/>
        <w:autoSpaceDN w:val="0"/>
        <w:adjustRightInd w:val="0"/>
        <w:spacing w:after="0"/>
        <w:jc w:val="both"/>
        <w:rPr>
          <w:rFonts w:ascii="Times New Roman" w:eastAsia="Times New Roman" w:hAnsi="Times New Roman" w:cs="Times New Roman"/>
          <w:b/>
          <w:kern w:val="24"/>
          <w:sz w:val="24"/>
          <w:szCs w:val="24"/>
          <w:lang w:eastAsia="cs-CZ"/>
        </w:rPr>
      </w:pPr>
      <w:r>
        <w:rPr>
          <w:rFonts w:ascii="Times New Roman" w:eastAsia="Times New Roman" w:hAnsi="Times New Roman" w:cs="Times New Roman"/>
          <w:b/>
          <w:kern w:val="24"/>
          <w:sz w:val="24"/>
          <w:szCs w:val="24"/>
          <w:lang w:eastAsia="cs-CZ"/>
        </w:rPr>
        <w:t>Zastaralé podkladové studie, rozpor s § 3 ve spojení s § 50 odst. 3 správního řádu</w:t>
      </w:r>
    </w:p>
    <w:p w14:paraId="4FB762ED" w14:textId="77777777" w:rsidR="00E1608F" w:rsidRPr="003040F4" w:rsidRDefault="00E1608F" w:rsidP="00E1608F">
      <w:pPr>
        <w:pStyle w:val="Odstavecseseznamem"/>
        <w:widowControl w:val="0"/>
        <w:suppressAutoHyphens/>
        <w:autoSpaceDE w:val="0"/>
        <w:autoSpaceDN w:val="0"/>
        <w:adjustRightInd w:val="0"/>
        <w:spacing w:after="0" w:line="240" w:lineRule="auto"/>
        <w:ind w:left="357"/>
        <w:jc w:val="both"/>
        <w:rPr>
          <w:rFonts w:ascii="Times New Roman" w:eastAsia="Times New Roman" w:hAnsi="Times New Roman" w:cs="Times New Roman"/>
          <w:b/>
          <w:kern w:val="24"/>
          <w:sz w:val="24"/>
          <w:szCs w:val="24"/>
          <w:lang w:eastAsia="cs-CZ"/>
        </w:rPr>
      </w:pPr>
    </w:p>
    <w:p w14:paraId="2DB6ECF8" w14:textId="6709034D" w:rsidR="00E1608F" w:rsidRPr="003040F4" w:rsidRDefault="00E1608F" w:rsidP="00E1608F">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 xml:space="preserve">Při srovnání dat z grafických příloh žádosti s výstupy dostupných a aktuálnějších dopravně inženýrských podkladů lze konstatovat, že celkový počet vozidel pro jednotlivé úseky </w:t>
      </w:r>
      <w:r w:rsidRPr="003040F4">
        <w:rPr>
          <w:rFonts w:ascii="Times New Roman" w:hAnsi="Times New Roman" w:cs="Times New Roman"/>
          <w:sz w:val="24"/>
          <w:szCs w:val="24"/>
        </w:rPr>
        <w:lastRenderedPageBreak/>
        <w:t xml:space="preserve">D3 je zřejmě výrazně podhodnocený a nezohledňuje dopravní indukci. V předloženém dopravním průzkumu na úseku Praha – Psáry má jezdit v roce 2030 cca 38 636 vozidel denně, zatímco dokumentace EIA k D0 518 a 519, která vychází z aktuálnějších dat, uvádí 54 700, resp. 47 315 (po přepočtu na RPDI), rok 2030 bez dostavby D0. Po dostavbě D0 jsou uvedené intenzity k roku 2030 ještě vyšší. </w:t>
      </w:r>
    </w:p>
    <w:p w14:paraId="5DADB212" w14:textId="77777777" w:rsidR="00E1608F" w:rsidRPr="003040F4" w:rsidRDefault="00E1608F" w:rsidP="00E1608F">
      <w:pPr>
        <w:suppressAutoHyphens/>
        <w:spacing w:after="0"/>
        <w:ind w:firstLine="708"/>
        <w:jc w:val="both"/>
        <w:rPr>
          <w:rFonts w:ascii="Times New Roman" w:hAnsi="Times New Roman" w:cs="Times New Roman"/>
          <w:sz w:val="24"/>
          <w:szCs w:val="24"/>
        </w:rPr>
      </w:pPr>
    </w:p>
    <w:p w14:paraId="6B953D6B" w14:textId="77777777" w:rsidR="00E1608F" w:rsidRPr="003040F4" w:rsidRDefault="00E1608F" w:rsidP="00E1608F">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 xml:space="preserve">Uváděný pokles o cca 3000 vozidel na D4 u Prahy je naprosto zanedbatelný vzhledem k celkovému počtu vozidel na této kapacitní komunikaci (přes 48 000 denně dle dat TSK 2023). Rovněž pokles o 13 000 vozidel na D1 mezi Mirošovicemi a Prahou je vzhledem k celkovému objemu dopravy (více než 100 000 vozidel dle sčítání ŘSD 2020) nevýznamný. </w:t>
      </w:r>
    </w:p>
    <w:p w14:paraId="57622CC1" w14:textId="77777777" w:rsidR="00E1608F" w:rsidRPr="003040F4" w:rsidRDefault="00E1608F" w:rsidP="00E1608F">
      <w:pPr>
        <w:suppressAutoHyphens/>
        <w:spacing w:after="0"/>
        <w:ind w:firstLine="708"/>
        <w:jc w:val="both"/>
        <w:rPr>
          <w:rFonts w:ascii="Times New Roman" w:hAnsi="Times New Roman" w:cs="Times New Roman"/>
          <w:sz w:val="24"/>
          <w:szCs w:val="24"/>
        </w:rPr>
      </w:pPr>
    </w:p>
    <w:p w14:paraId="6C5BBDC1" w14:textId="77777777" w:rsidR="00E1608F" w:rsidRPr="003040F4" w:rsidRDefault="00E1608F" w:rsidP="00E1608F">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 xml:space="preserve">Pokles o 8000 vozidel na I/3 mezi Benešovem a D1 je sice výraznější, avšak podobný efekt by bylo možné dosáhnout zkapacitněním železniční dopravy v úseku Benešov – Hostivař v kombinaci s regulací IAD v Praze a vyšším zpoplatněním komunikací. Ve skutečnosti dočasné odlehčení I/3 a D1 na Prahu může vést ke zhoršení konkurenceschopnosti železnice oproti silniční dopravě a přesun části cestujících z VHD do aut. </w:t>
      </w:r>
    </w:p>
    <w:p w14:paraId="477D7782" w14:textId="77777777" w:rsidR="00E1608F" w:rsidRPr="003040F4" w:rsidRDefault="00E1608F" w:rsidP="00E1608F">
      <w:pPr>
        <w:suppressAutoHyphens/>
        <w:spacing w:after="0"/>
        <w:ind w:firstLine="708"/>
        <w:jc w:val="both"/>
        <w:rPr>
          <w:rFonts w:ascii="Times New Roman" w:hAnsi="Times New Roman" w:cs="Times New Roman"/>
          <w:sz w:val="24"/>
          <w:szCs w:val="24"/>
        </w:rPr>
      </w:pPr>
    </w:p>
    <w:p w14:paraId="168B868F" w14:textId="77777777" w:rsidR="00E1608F" w:rsidRPr="003040F4" w:rsidRDefault="00E1608F" w:rsidP="00E1608F">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Pokles o 15 000 vozidel na méně než 10 000 jižně od Benešova je pozitivní z hlediska odlehčení samotné komunikace a jejího okolí. Avšak je otázkou, jestli tato kapacitní silnice I. třídy, do jejíž modernizace a rozšíření se v posledních letech investovaly nemalé prostředky, bude nadále ekonomicky životaschopná. Po dostavbě středočeské D3 náklady na provoz a údržbu výrazně vzrostou a hrozí riziko, že původní I/3 bude zanedbávána. V širších, zejména ekonomických souvislostech nelze hovořit o efektivním využití dopravní infrastruktury a veřejných peněz.</w:t>
      </w:r>
    </w:p>
    <w:p w14:paraId="01B5CFBB" w14:textId="77777777" w:rsidR="00E1608F" w:rsidRPr="003040F4" w:rsidRDefault="00E1608F" w:rsidP="00E1608F">
      <w:pPr>
        <w:suppressAutoHyphens/>
        <w:spacing w:after="0"/>
        <w:ind w:firstLine="708"/>
        <w:jc w:val="both"/>
        <w:rPr>
          <w:rFonts w:ascii="Times New Roman" w:hAnsi="Times New Roman" w:cs="Times New Roman"/>
          <w:sz w:val="24"/>
          <w:szCs w:val="24"/>
        </w:rPr>
      </w:pPr>
    </w:p>
    <w:p w14:paraId="36EED9C1" w14:textId="77777777" w:rsidR="00E1608F" w:rsidRPr="003040F4" w:rsidRDefault="00E1608F" w:rsidP="00E1608F">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Významný pokles na silnicích II. třídy (II/102, II/105, II/603) je v místním měřítku určitě přínosem, avšak odlehčení těchto komunikací v kombinaci s dostavbou dálnice D3, povede ke zvýšení atraktivity IAD a usnadnění dojížďky autem do Prahy, což je nežádoucí zejména z pohledu hl. města. Současný provoz na uvedených silnicích je stále relativně nízký ve srovnání s podobnými komunikacemi ve větších městech. Investice by měly směřovat především do zlepšení dopravní obslužnosti veřejnou hromadnou dopravou, občanské vybavenosti a pracovních příležitostí v regionu.</w:t>
      </w:r>
    </w:p>
    <w:p w14:paraId="4E3F888B" w14:textId="77777777" w:rsidR="00E1608F" w:rsidRPr="003040F4" w:rsidRDefault="00E1608F" w:rsidP="00E1608F">
      <w:pPr>
        <w:suppressAutoHyphens/>
        <w:spacing w:after="0"/>
        <w:ind w:firstLine="708"/>
        <w:jc w:val="both"/>
        <w:rPr>
          <w:rFonts w:ascii="Times New Roman" w:hAnsi="Times New Roman" w:cs="Times New Roman"/>
          <w:sz w:val="24"/>
          <w:szCs w:val="24"/>
        </w:rPr>
      </w:pPr>
    </w:p>
    <w:p w14:paraId="48CF2C3F" w14:textId="61C9EFD1" w:rsidR="00E1608F" w:rsidRPr="003040F4" w:rsidRDefault="00E1608F" w:rsidP="00E1608F">
      <w:pPr>
        <w:suppressAutoHyphens/>
        <w:spacing w:after="0"/>
        <w:ind w:firstLine="708"/>
        <w:jc w:val="both"/>
        <w:rPr>
          <w:rFonts w:ascii="Times New Roman" w:hAnsi="Times New Roman" w:cs="Times New Roman"/>
          <w:sz w:val="24"/>
          <w:szCs w:val="24"/>
        </w:rPr>
      </w:pPr>
      <w:r w:rsidRPr="003040F4">
        <w:rPr>
          <w:rFonts w:ascii="Times New Roman" w:hAnsi="Times New Roman" w:cs="Times New Roman"/>
          <w:sz w:val="24"/>
          <w:szCs w:val="24"/>
        </w:rPr>
        <w:t>Podhodnocené dopravní modely znamenají nevyužitelnost jednotlivých podkladových studií, zejména akustické studie, rozptylové studie a dalších. Jejich použití jako podkladu v řízení je v rozporu s § 3 ve spojení s § 50 odst. 3 správního řádu.</w:t>
      </w:r>
    </w:p>
    <w:p w14:paraId="35452118" w14:textId="77777777" w:rsidR="00BE48D4" w:rsidRPr="003040F4" w:rsidRDefault="00BE48D4" w:rsidP="00BE48D4">
      <w:pPr>
        <w:tabs>
          <w:tab w:val="left" w:pos="0"/>
        </w:tabs>
        <w:spacing w:after="0"/>
        <w:jc w:val="both"/>
        <w:rPr>
          <w:rFonts w:ascii="Times New Roman" w:eastAsia="Calibri" w:hAnsi="Times New Roman" w:cs="Times New Roman"/>
          <w:sz w:val="24"/>
          <w:szCs w:val="24"/>
        </w:rPr>
      </w:pPr>
    </w:p>
    <w:p w14:paraId="3EBB1B5B" w14:textId="559A0B61" w:rsidR="00BE48D4" w:rsidRDefault="00BE48D4" w:rsidP="00BE48D4">
      <w:pPr>
        <w:tabs>
          <w:tab w:val="left" w:pos="0"/>
        </w:tabs>
        <w:spacing w:after="0"/>
        <w:jc w:val="both"/>
        <w:rPr>
          <w:rFonts w:ascii="Times New Roman" w:eastAsia="Calibri" w:hAnsi="Times New Roman" w:cs="Times New Roman"/>
          <w:sz w:val="24"/>
          <w:szCs w:val="24"/>
        </w:rPr>
      </w:pPr>
      <w:r w:rsidRPr="003040F4">
        <w:rPr>
          <w:rFonts w:ascii="Times New Roman" w:eastAsia="Calibri" w:hAnsi="Times New Roman" w:cs="Times New Roman"/>
          <w:sz w:val="24"/>
          <w:szCs w:val="24"/>
        </w:rPr>
        <w:tab/>
        <w:t xml:space="preserve">Stavba způsobí překročení závazných limitů v oblasti hluku, znečištění ovzduší, bude znamenat nepřípustný zásah do životních podmínek obyvatel regionu (viz námitka zásahu do pohody bydlení) a jednotlivých složek životního prostředí. Stavba je v rozporu se zásadou trvale udržitelného rozvoje. </w:t>
      </w:r>
    </w:p>
    <w:p w14:paraId="0C14F979" w14:textId="77777777" w:rsidR="00C169C2" w:rsidRDefault="00C169C2" w:rsidP="00BE48D4">
      <w:pPr>
        <w:tabs>
          <w:tab w:val="left" w:pos="0"/>
        </w:tabs>
        <w:spacing w:after="0"/>
        <w:jc w:val="both"/>
        <w:rPr>
          <w:rFonts w:ascii="Times New Roman" w:eastAsia="Calibri" w:hAnsi="Times New Roman" w:cs="Times New Roman"/>
          <w:sz w:val="24"/>
          <w:szCs w:val="24"/>
        </w:rPr>
      </w:pPr>
    </w:p>
    <w:p w14:paraId="4B82B03C" w14:textId="3D7D34CC" w:rsidR="00C169C2" w:rsidRDefault="00C169C2" w:rsidP="00BE48D4">
      <w:pPr>
        <w:tabs>
          <w:tab w:val="left" w:pos="0"/>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Další nepoužitelnou studií je Dendrologická studie – ta je z roku 2016. Nelze ji proto využít jako podklad pro vydání rozhodnutí. Stavební úřad je povinen vyzvat žadatele k vypracování aktuální dendrologické studie.</w:t>
      </w:r>
    </w:p>
    <w:p w14:paraId="254D8E96" w14:textId="77777777" w:rsidR="009602B5" w:rsidRDefault="009602B5" w:rsidP="00BE48D4">
      <w:pPr>
        <w:tabs>
          <w:tab w:val="left" w:pos="0"/>
        </w:tabs>
        <w:spacing w:after="0"/>
        <w:jc w:val="both"/>
        <w:rPr>
          <w:rFonts w:ascii="Times New Roman" w:eastAsia="Calibri" w:hAnsi="Times New Roman" w:cs="Times New Roman"/>
          <w:sz w:val="24"/>
          <w:szCs w:val="24"/>
        </w:rPr>
      </w:pPr>
    </w:p>
    <w:p w14:paraId="68BE2625" w14:textId="77777777" w:rsidR="009602B5" w:rsidRDefault="009602B5" w:rsidP="009602B5">
      <w:pPr>
        <w:tabs>
          <w:tab w:val="left" w:pos="0"/>
        </w:tabs>
        <w:spacing w:after="0"/>
        <w:jc w:val="both"/>
      </w:pPr>
      <w:r>
        <w:rPr>
          <w:rFonts w:ascii="Times New Roman" w:eastAsia="Calibri" w:hAnsi="Times New Roman" w:cs="Times New Roman"/>
          <w:sz w:val="24"/>
          <w:szCs w:val="24"/>
        </w:rPr>
        <w:lastRenderedPageBreak/>
        <w:tab/>
        <w:t xml:space="preserve">Nepoužitelné, resp. nedostatečné,  jsou i studie hydrogeologické, založené do spisu. </w:t>
      </w:r>
      <w:r w:rsidRPr="009602B5">
        <w:rPr>
          <w:rFonts w:ascii="Times New Roman" w:eastAsia="Calibri" w:hAnsi="Times New Roman" w:cs="Times New Roman"/>
          <w:sz w:val="24"/>
          <w:szCs w:val="24"/>
        </w:rPr>
        <w:t>Většina hydrogeologických posudků je explicitně označena jako "předběžný průzkum" a obsahuje rozsáhlá doporučení pro další, podrobnější průzkumy. Dle "Priloha_08_Hydrogeologicky pruzkum_D301.pdf" (str. 1): "Výsledky HG průzkumu slouží jako podklad k projektové dokumentaci stavby daného úseku dálnice D3." a "Náplň a rozsah HG průzkumu byla stanovena Vosáhlovou (2012)."</w:t>
      </w:r>
      <w:r>
        <w:rPr>
          <w:rFonts w:ascii="Times New Roman" w:eastAsia="Calibri" w:hAnsi="Times New Roman" w:cs="Times New Roman"/>
          <w:sz w:val="24"/>
          <w:szCs w:val="24"/>
        </w:rPr>
        <w:t>.</w:t>
      </w:r>
      <w:r w:rsidRPr="009602B5">
        <w:rPr>
          <w:rFonts w:ascii="Times New Roman" w:eastAsia="Calibri" w:hAnsi="Times New Roman" w:cs="Times New Roman"/>
          <w:sz w:val="24"/>
          <w:szCs w:val="24"/>
        </w:rPr>
        <w:t xml:space="preserve"> Neznámé jsou trasy, materiály a světlosti stávajících zemědělských drenáží (meliorací). Dle "D.1.4.6.1_1_technicka_zprava.pdf" (str. 3): "Vzhledem k tomu, že nejsou známy trasy, materiál ani světlosti stávajících zařízení, bylo by vhodné tyto podklady pro další projektový stupeň získat. V opačném případě bude skutečné provedení polních drenáží operativně přizpůsobovat aktuálně zjištěné situaci během vlastní realizace stavby..."</w:t>
      </w:r>
      <w:r>
        <w:rPr>
          <w:rFonts w:ascii="Times New Roman" w:eastAsia="Calibri" w:hAnsi="Times New Roman" w:cs="Times New Roman"/>
          <w:sz w:val="24"/>
          <w:szCs w:val="24"/>
        </w:rPr>
        <w:t>.</w:t>
      </w:r>
      <w:r w:rsidRPr="009602B5">
        <w:t xml:space="preserve"> </w:t>
      </w:r>
    </w:p>
    <w:p w14:paraId="28BE990F" w14:textId="77777777" w:rsidR="009602B5" w:rsidRDefault="009602B5" w:rsidP="009602B5">
      <w:pPr>
        <w:tabs>
          <w:tab w:val="left" w:pos="0"/>
        </w:tabs>
        <w:spacing w:after="0"/>
        <w:jc w:val="both"/>
      </w:pPr>
    </w:p>
    <w:p w14:paraId="2E5347E7" w14:textId="33029317" w:rsidR="009602B5" w:rsidRPr="003040F4" w:rsidRDefault="009602B5" w:rsidP="009602B5">
      <w:pPr>
        <w:tabs>
          <w:tab w:val="left" w:pos="0"/>
        </w:tabs>
        <w:spacing w:after="0"/>
        <w:jc w:val="both"/>
        <w:rPr>
          <w:rFonts w:ascii="Times New Roman" w:eastAsia="Calibri" w:hAnsi="Times New Roman" w:cs="Times New Roman"/>
          <w:sz w:val="24"/>
          <w:szCs w:val="24"/>
        </w:rPr>
      </w:pPr>
      <w:r>
        <w:tab/>
      </w:r>
      <w:r w:rsidRPr="009602B5">
        <w:rPr>
          <w:rFonts w:ascii="Times New Roman" w:eastAsia="Calibri" w:hAnsi="Times New Roman" w:cs="Times New Roman"/>
          <w:sz w:val="24"/>
          <w:szCs w:val="24"/>
        </w:rPr>
        <w:t>V úsecích zářezů (např. D303, km 14,729-14,937; km 17,877-19,012; km 22,106-22,366) chybí údaje o hladinách podzemních vod. Dle "Hydrogeolog.pruzkum_D303.pdf" (str. 15): "Významně chybí údaje o hloubce ustálené a naražené hladině podzemní vody podél celé trasy. Vzhledem ke skalnímu podkladu je při vrtných pracích používáno diamantové vrtání s výplachem. Tato metoda neumožňuje určení ustálené hladiny podzemní vody ani určení jejich přítoků."</w:t>
      </w:r>
    </w:p>
    <w:p w14:paraId="3E05D6B9" w14:textId="77777777" w:rsidR="00BE48D4" w:rsidRPr="003040F4" w:rsidRDefault="00BE48D4" w:rsidP="00BE48D4">
      <w:pPr>
        <w:tabs>
          <w:tab w:val="left" w:pos="0"/>
        </w:tabs>
        <w:spacing w:after="0"/>
        <w:jc w:val="both"/>
        <w:rPr>
          <w:rFonts w:ascii="Times New Roman" w:eastAsia="Calibri" w:hAnsi="Times New Roman" w:cs="Times New Roman"/>
          <w:sz w:val="24"/>
          <w:szCs w:val="24"/>
        </w:rPr>
      </w:pPr>
    </w:p>
    <w:p w14:paraId="28FA9900" w14:textId="4EB4C048" w:rsidR="00BE48D4" w:rsidRDefault="00BE48D4" w:rsidP="00BE48D4">
      <w:pPr>
        <w:tabs>
          <w:tab w:val="left" w:pos="0"/>
        </w:tabs>
        <w:spacing w:after="0"/>
        <w:jc w:val="both"/>
        <w:rPr>
          <w:rFonts w:ascii="Times New Roman" w:eastAsia="Calibri" w:hAnsi="Times New Roman" w:cs="Times New Roman"/>
          <w:sz w:val="24"/>
          <w:szCs w:val="24"/>
        </w:rPr>
      </w:pPr>
      <w:r w:rsidRPr="003040F4">
        <w:rPr>
          <w:rFonts w:ascii="Times New Roman" w:eastAsia="Calibri" w:hAnsi="Times New Roman" w:cs="Times New Roman"/>
          <w:sz w:val="24"/>
          <w:szCs w:val="24"/>
        </w:rPr>
        <w:tab/>
      </w:r>
      <w:r w:rsidR="009602B5" w:rsidRPr="009602B5">
        <w:rPr>
          <w:rFonts w:ascii="Times New Roman" w:eastAsia="Calibri" w:hAnsi="Times New Roman" w:cs="Times New Roman"/>
          <w:sz w:val="24"/>
          <w:szCs w:val="24"/>
        </w:rPr>
        <w:t>Požaduj</w:t>
      </w:r>
      <w:r w:rsidR="009602B5">
        <w:rPr>
          <w:rFonts w:ascii="Times New Roman" w:eastAsia="Calibri" w:hAnsi="Times New Roman" w:cs="Times New Roman"/>
          <w:sz w:val="24"/>
          <w:szCs w:val="24"/>
        </w:rPr>
        <w:t>i proto</w:t>
      </w:r>
      <w:r w:rsidR="009602B5" w:rsidRPr="009602B5">
        <w:rPr>
          <w:rFonts w:ascii="Times New Roman" w:eastAsia="Calibri" w:hAnsi="Times New Roman" w:cs="Times New Roman"/>
          <w:sz w:val="24"/>
          <w:szCs w:val="24"/>
        </w:rPr>
        <w:t xml:space="preserve"> doplnění dokumentace o veškeré chybějící podklady a analýzy na úroveň "závazného řešení" a to před vydáním územního rozhodnutí. Tyto podklady musí zahrnovat podrobný hydrogeologický průzkum (včetně geofyzikálního vymapování poruchových zón, jak doporučuje "Priloha_08_Hydrogeologicky pruzkum_D301.pdf", str. 15), aktualizovaná hydrologická data (opětovné ověření dat starších 5 let, jak doporučuje "Hydrgeolog.pruzkum_D302.pdf", str. 28) a spolehlivé hydrotechnické výpočty pro všechny relevantní úseky, zejména v okolí tunelů a hlubokých zářezů, a to se zapojením znalostí o puklinových systémech. Současně je nutné jasně doložit, jak byly závěry EIA z roku 2012 fakticky a závazně implementovány a jak jsou zohledněny kumulativní vlivy.</w:t>
      </w:r>
    </w:p>
    <w:p w14:paraId="7477AA5B" w14:textId="77777777" w:rsidR="009602B5" w:rsidRDefault="009602B5" w:rsidP="00BE48D4">
      <w:pPr>
        <w:tabs>
          <w:tab w:val="left" w:pos="0"/>
        </w:tabs>
        <w:spacing w:after="0"/>
        <w:jc w:val="both"/>
        <w:rPr>
          <w:rFonts w:ascii="Times New Roman" w:eastAsia="Calibri" w:hAnsi="Times New Roman" w:cs="Times New Roman"/>
          <w:sz w:val="24"/>
          <w:szCs w:val="24"/>
        </w:rPr>
      </w:pPr>
    </w:p>
    <w:p w14:paraId="4D4E5E9F" w14:textId="00CE9213" w:rsidR="009602B5" w:rsidRPr="009602B5" w:rsidRDefault="009602B5" w:rsidP="009602B5">
      <w:pPr>
        <w:tabs>
          <w:tab w:val="left" w:pos="0"/>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602B5">
        <w:rPr>
          <w:rFonts w:ascii="Times New Roman" w:eastAsia="Calibri" w:hAnsi="Times New Roman" w:cs="Times New Roman"/>
          <w:sz w:val="24"/>
          <w:szCs w:val="24"/>
        </w:rPr>
        <w:t>Dokumentace potvrzuje výrazné kvantitativní ovlivnění (snížení vydatnosti až úplná ztráta vody) řady individuálních studní v okolí tunelů a hlubokých zářezů</w:t>
      </w:r>
      <w:r>
        <w:rPr>
          <w:rFonts w:ascii="Times New Roman" w:eastAsia="Calibri" w:hAnsi="Times New Roman" w:cs="Times New Roman"/>
          <w:sz w:val="24"/>
          <w:szCs w:val="24"/>
        </w:rPr>
        <w:t xml:space="preserve"> v řadě obcí.</w:t>
      </w:r>
      <w:r w:rsidRPr="009602B5">
        <w:t xml:space="preserve"> </w:t>
      </w:r>
      <w:r w:rsidRPr="009602B5">
        <w:rPr>
          <w:rFonts w:ascii="Times New Roman" w:eastAsia="Calibri" w:hAnsi="Times New Roman" w:cs="Times New Roman"/>
          <w:sz w:val="24"/>
          <w:szCs w:val="24"/>
        </w:rPr>
        <w:t>Náhradní zásobování pitnou vodou je sice navrženo pro celkem 251 objektů (68 pro Libeř, 145 pro Kamenná Vrata, 38 pro Luka, str. 7, 9 a 12 z "TZ_ostatní SO.pdf"). Avšak jeho rozsah je stále závislý na "detailním hydrogeologickém průzkumu" (str. 4 z "TZ_ostatní SO.pdf"), což je nepřijatelné pro územní řízení, neboť neposkytuje závazné a konečné řešení pro dotčené občany. Pro většinu ostatních jmenovaných obcí a další bez veřejného vodovodu nejsou konkrétní kompenzace za ztrátu pitné vody z individuálních zdrojů navrženy, a to i přes uznané riziko kvantitativních a kvalitativních dopadů.</w:t>
      </w:r>
    </w:p>
    <w:p w14:paraId="1BC39743" w14:textId="77777777" w:rsidR="009602B5" w:rsidRDefault="009602B5" w:rsidP="009602B5">
      <w:pPr>
        <w:tabs>
          <w:tab w:val="left" w:pos="0"/>
        </w:tabs>
        <w:spacing w:after="0"/>
        <w:jc w:val="both"/>
        <w:rPr>
          <w:rFonts w:ascii="Times New Roman" w:eastAsia="Calibri" w:hAnsi="Times New Roman" w:cs="Times New Roman"/>
          <w:sz w:val="24"/>
          <w:szCs w:val="24"/>
        </w:rPr>
      </w:pPr>
      <w:r w:rsidRPr="009602B5">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p>
    <w:p w14:paraId="1951C9C6" w14:textId="59D63EB3" w:rsidR="009602B5" w:rsidRPr="009602B5" w:rsidRDefault="009602B5" w:rsidP="009602B5">
      <w:pPr>
        <w:tabs>
          <w:tab w:val="left" w:pos="0"/>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602B5">
        <w:rPr>
          <w:rFonts w:ascii="Times New Roman" w:eastAsia="Calibri" w:hAnsi="Times New Roman" w:cs="Times New Roman"/>
          <w:sz w:val="24"/>
          <w:szCs w:val="24"/>
        </w:rPr>
        <w:t>Požaduj</w:t>
      </w:r>
      <w:r>
        <w:rPr>
          <w:rFonts w:ascii="Times New Roman" w:eastAsia="Calibri" w:hAnsi="Times New Roman" w:cs="Times New Roman"/>
          <w:sz w:val="24"/>
          <w:szCs w:val="24"/>
        </w:rPr>
        <w:t>i</w:t>
      </w:r>
      <w:r w:rsidRPr="009602B5">
        <w:rPr>
          <w:rFonts w:ascii="Times New Roman" w:eastAsia="Calibri" w:hAnsi="Times New Roman" w:cs="Times New Roman"/>
          <w:sz w:val="24"/>
          <w:szCs w:val="24"/>
        </w:rPr>
        <w:t xml:space="preserve">, aby dokumentace byla doplněna o komplexní, závazný a finančně zajištěný plán kompenzací pro všechny dotčené individuální vodní zdroje (studny) v okruhu minimálně 500 m od trasy dálnice, s konkrétním řešením přívodu pitné vody, včetně právní garance. </w:t>
      </w:r>
    </w:p>
    <w:p w14:paraId="67D0C46C" w14:textId="0B303FAF" w:rsidR="00524A4E" w:rsidRPr="009602B5" w:rsidRDefault="009602B5" w:rsidP="009602B5">
      <w:pPr>
        <w:tabs>
          <w:tab w:val="left" w:pos="0"/>
        </w:tabs>
        <w:spacing w:after="0"/>
        <w:jc w:val="both"/>
        <w:rPr>
          <w:rFonts w:ascii="Times New Roman" w:eastAsia="Calibri" w:hAnsi="Times New Roman" w:cs="Times New Roman"/>
          <w:sz w:val="24"/>
          <w:szCs w:val="24"/>
        </w:rPr>
      </w:pPr>
      <w:r w:rsidRPr="009602B5">
        <w:rPr>
          <w:rFonts w:ascii="Times New Roman" w:eastAsia="Calibri" w:hAnsi="Times New Roman" w:cs="Times New Roman"/>
          <w:sz w:val="24"/>
          <w:szCs w:val="24"/>
        </w:rPr>
        <w:t xml:space="preserve">    </w:t>
      </w:r>
    </w:p>
    <w:p w14:paraId="3ECC4796" w14:textId="0EE52717" w:rsidR="00E14AF4" w:rsidRPr="009602B5" w:rsidRDefault="00E91AA7" w:rsidP="009602B5">
      <w:pPr>
        <w:widowControl w:val="0"/>
        <w:suppressAutoHyphens/>
        <w:autoSpaceDE w:val="0"/>
        <w:autoSpaceDN w:val="0"/>
        <w:adjustRightInd w:val="0"/>
        <w:spacing w:after="0"/>
        <w:jc w:val="both"/>
        <w:rPr>
          <w:rFonts w:ascii="Times New Roman" w:eastAsia="Times New Roman" w:hAnsi="Times New Roman" w:cs="Times New Roman"/>
          <w:b/>
          <w:kern w:val="24"/>
          <w:sz w:val="24"/>
          <w:szCs w:val="24"/>
          <w:lang w:eastAsia="cs-CZ"/>
        </w:rPr>
      </w:pPr>
      <w:r w:rsidRPr="009602B5">
        <w:rPr>
          <w:rFonts w:ascii="Times New Roman" w:eastAsia="Times New Roman" w:hAnsi="Times New Roman" w:cs="Times New Roman"/>
          <w:b/>
          <w:kern w:val="24"/>
          <w:sz w:val="24"/>
          <w:szCs w:val="24"/>
          <w:lang w:eastAsia="cs-CZ"/>
        </w:rPr>
        <w:t>Rozpor s požadavky na ochranu klimatu</w:t>
      </w:r>
    </w:p>
    <w:p w14:paraId="50AE90FD" w14:textId="77777777" w:rsidR="00E91AA7" w:rsidRPr="003040F4" w:rsidRDefault="00E91AA7" w:rsidP="00E91AA7">
      <w:pPr>
        <w:suppressAutoHyphens/>
        <w:spacing w:after="0"/>
        <w:ind w:firstLine="708"/>
        <w:jc w:val="both"/>
        <w:rPr>
          <w:rFonts w:ascii="Times New Roman" w:eastAsia="Times New Roman" w:hAnsi="Times New Roman" w:cs="Times New Roman"/>
          <w:kern w:val="2"/>
          <w:sz w:val="24"/>
          <w:szCs w:val="24"/>
          <w:lang w:eastAsia="cs-CZ"/>
        </w:rPr>
      </w:pPr>
    </w:p>
    <w:p w14:paraId="1400AAFD" w14:textId="08196118" w:rsidR="00E91AA7" w:rsidRPr="003040F4" w:rsidRDefault="00E91AA7" w:rsidP="00E91AA7">
      <w:pPr>
        <w:suppressAutoHyphens/>
        <w:spacing w:after="0"/>
        <w:ind w:firstLine="708"/>
        <w:jc w:val="both"/>
        <w:rPr>
          <w:rFonts w:ascii="Times New Roman" w:eastAsia="Times New Roman" w:hAnsi="Times New Roman" w:cs="Times New Roman"/>
          <w:kern w:val="2"/>
          <w:sz w:val="24"/>
          <w:szCs w:val="24"/>
          <w:lang w:eastAsia="cs-CZ"/>
        </w:rPr>
      </w:pPr>
      <w:r w:rsidRPr="003040F4">
        <w:rPr>
          <w:rFonts w:ascii="Times New Roman" w:eastAsia="Times New Roman" w:hAnsi="Times New Roman" w:cs="Times New Roman"/>
          <w:kern w:val="2"/>
          <w:sz w:val="24"/>
          <w:szCs w:val="24"/>
          <w:lang w:eastAsia="cs-CZ"/>
        </w:rPr>
        <w:t xml:space="preserve">Základem pro evropskou environmentální taxonomii je nařízení Evropského parlamentu a Rady (EU) 2020/852 ze dne 18. června 2020 o zřízení rámce pro usnadnění udržitelných </w:t>
      </w:r>
      <w:r w:rsidRPr="003040F4">
        <w:rPr>
          <w:rFonts w:ascii="Times New Roman" w:eastAsia="Times New Roman" w:hAnsi="Times New Roman" w:cs="Times New Roman"/>
          <w:kern w:val="2"/>
          <w:sz w:val="24"/>
          <w:szCs w:val="24"/>
          <w:lang w:eastAsia="cs-CZ"/>
        </w:rPr>
        <w:lastRenderedPageBreak/>
        <w:t>investic a o změně nařízení (EU) 2019/2088 (dále jen „Nařízení“). Jedná se o jeden z dalších kroků k vyjasnění a provedení prohlášení učiněných v Green Deal. Důležitost taxonomie skýtá v 6 vymezených cílech deklarovaných v článku 9 tohoto Nařízení. Jedním z požadavků, aby pak daná hospodářská činnost mohla být považována z hlediska taxonomie za environmentálně udržitelnou, je nezbytnost značně přispívat k jednomu nebo více uvedeným environmentálním cílům nebo je významně nepoškozovat. Aby mohla být činnost uznána za plně environmentálně udržitelnou, musí splňovat dvě podmínky: zásadně přispět alespoň jednomu ze šesti cílů – zmírňování změny klimatu; přizpůsobování se změně klimatu; udržitelné využívání a ochrana vodních a mořských zdrojů; přechod na oběhové hospodářství; prevence a omezování znečištění; ochrana a obnova biologické rozmanitosti a ekosystémů. zásadně nepoškozovat environmentální cíle (tzv. zásada zásadně neškodit – „Do No Significant Harm“).</w:t>
      </w:r>
    </w:p>
    <w:p w14:paraId="78AC78C9" w14:textId="77777777" w:rsidR="00E91AA7" w:rsidRPr="003040F4" w:rsidRDefault="00E91AA7" w:rsidP="00E91AA7">
      <w:pPr>
        <w:suppressAutoHyphens/>
        <w:spacing w:after="0"/>
        <w:jc w:val="both"/>
        <w:rPr>
          <w:rFonts w:ascii="Times New Roman" w:eastAsia="Times New Roman" w:hAnsi="Times New Roman" w:cs="Times New Roman"/>
          <w:kern w:val="2"/>
          <w:sz w:val="24"/>
          <w:szCs w:val="24"/>
          <w:lang w:eastAsia="cs-CZ"/>
        </w:rPr>
      </w:pPr>
    </w:p>
    <w:p w14:paraId="0BA29ECC" w14:textId="77777777" w:rsidR="00E91AA7" w:rsidRPr="003040F4" w:rsidRDefault="00E91AA7" w:rsidP="00E91AA7">
      <w:pPr>
        <w:suppressAutoHyphens/>
        <w:spacing w:after="0"/>
        <w:ind w:firstLine="708"/>
        <w:jc w:val="both"/>
        <w:rPr>
          <w:rFonts w:ascii="Times New Roman" w:eastAsia="Times New Roman" w:hAnsi="Times New Roman" w:cs="Times New Roman"/>
          <w:kern w:val="2"/>
          <w:sz w:val="24"/>
          <w:szCs w:val="24"/>
          <w:lang w:eastAsia="cs-CZ"/>
        </w:rPr>
      </w:pPr>
      <w:r w:rsidRPr="003040F4">
        <w:rPr>
          <w:rFonts w:ascii="Times New Roman" w:eastAsia="Times New Roman" w:hAnsi="Times New Roman" w:cs="Times New Roman"/>
          <w:kern w:val="2"/>
          <w:sz w:val="24"/>
          <w:szCs w:val="24"/>
          <w:lang w:eastAsia="cs-CZ"/>
        </w:rPr>
        <w:t>Dále je pak třeba splňovat minimální záruky, a sice jednat dobře i v ostatních oblastech podnikání, jako je například důstojné mzdové ohodnocení zaměstnanců a podobně. Konkrétní kritéria pro označení hospodářské aktivity jako udržitelné jsou obsažena v technických screeningových kritériích. Ta nejsou uvedena v Nařízení, ale jsou přijímána v aktech v přenesené pravomoci (Delegated Acts), které tvoří doplněk k Nařízení. Akty a technická screeningová kritéria podléhají pravidelné aktualizaci. V případě, že daná hospodářská aktivita nesplňuje kvalifikaci udržitelnosti, neznamená to, že do ní nelze investovat, může to ale ovlivnit atraktivitu a přijatelnost investice, což je vlastně žádoucím výsledkem – nasměrovat toky soukromého kapitálu směrem k udržitelným aktivitám.</w:t>
      </w:r>
    </w:p>
    <w:p w14:paraId="78B2C19C" w14:textId="77777777" w:rsidR="00E91AA7" w:rsidRPr="003040F4" w:rsidRDefault="00E91AA7" w:rsidP="00E91AA7">
      <w:pPr>
        <w:suppressAutoHyphens/>
        <w:spacing w:after="0"/>
        <w:ind w:firstLine="708"/>
        <w:jc w:val="both"/>
        <w:rPr>
          <w:rFonts w:ascii="Times New Roman" w:eastAsia="Times New Roman" w:hAnsi="Times New Roman" w:cs="Times New Roman"/>
          <w:kern w:val="2"/>
          <w:sz w:val="24"/>
          <w:szCs w:val="24"/>
          <w:lang w:eastAsia="cs-CZ"/>
        </w:rPr>
      </w:pPr>
    </w:p>
    <w:p w14:paraId="7CBA8524" w14:textId="77777777" w:rsidR="00E91AA7" w:rsidRPr="003040F4" w:rsidRDefault="00E91AA7" w:rsidP="00E91AA7">
      <w:pPr>
        <w:suppressAutoHyphens/>
        <w:spacing w:after="0"/>
        <w:ind w:firstLine="708"/>
        <w:jc w:val="both"/>
        <w:rPr>
          <w:rFonts w:ascii="Times New Roman" w:eastAsia="Times New Roman" w:hAnsi="Times New Roman" w:cs="Times New Roman"/>
          <w:kern w:val="2"/>
          <w:sz w:val="24"/>
          <w:szCs w:val="24"/>
          <w:lang w:eastAsia="cs-CZ"/>
        </w:rPr>
      </w:pPr>
      <w:r w:rsidRPr="003040F4">
        <w:rPr>
          <w:rFonts w:ascii="Times New Roman" w:eastAsia="Times New Roman" w:hAnsi="Times New Roman" w:cs="Times New Roman"/>
          <w:kern w:val="2"/>
          <w:sz w:val="24"/>
          <w:szCs w:val="24"/>
          <w:lang w:eastAsia="cs-CZ"/>
        </w:rPr>
        <w:t>Podle článku 3 nařízení pro účely stanovení míry, do jaké je investice environmentálně udržitelná, se hospodářská činnost kvalifikuje jako environmentálně udržitelná, pokud tato hospodářská činnost: a) významně přispívá k jednomu nebo více environmentálním cílům stanoveným v článku 9 v souladu s články 10 až 16; b) významně nepoškozuje žádný z environmentálních cílů stanovených v článku 9 v souladu s článkem 17; c) je vykonávána v souladu s minimálními zárukami stanovenými v článku 18; a d) splňuje technická screeningová kritéria, která Komise stanovila v souladu s čl. 10 odst. 3, čl. 11 odst. 3, čl. 12 odst. 2, čl. 13 odst. 2, čl. 14 odst. 2 nebo čl. 15 odst. 2.</w:t>
      </w:r>
    </w:p>
    <w:p w14:paraId="1A929F81" w14:textId="77777777" w:rsidR="00E91AA7" w:rsidRPr="003040F4" w:rsidRDefault="00E91AA7" w:rsidP="00E91AA7">
      <w:pPr>
        <w:suppressAutoHyphens/>
        <w:spacing w:after="0"/>
        <w:ind w:firstLine="708"/>
        <w:jc w:val="both"/>
        <w:rPr>
          <w:rFonts w:ascii="Times New Roman" w:eastAsia="Times New Roman" w:hAnsi="Times New Roman" w:cs="Times New Roman"/>
          <w:kern w:val="2"/>
          <w:sz w:val="24"/>
          <w:szCs w:val="24"/>
          <w:lang w:eastAsia="cs-CZ"/>
        </w:rPr>
      </w:pPr>
    </w:p>
    <w:p w14:paraId="1A723742" w14:textId="51C0C08C" w:rsidR="00E91AA7" w:rsidRPr="003040F4" w:rsidRDefault="00E91AA7" w:rsidP="001879A5">
      <w:pPr>
        <w:suppressAutoHyphens/>
        <w:spacing w:after="0"/>
        <w:ind w:firstLine="708"/>
        <w:jc w:val="both"/>
        <w:rPr>
          <w:rFonts w:ascii="Times New Roman" w:eastAsia="Times New Roman" w:hAnsi="Times New Roman" w:cs="Times New Roman"/>
          <w:kern w:val="2"/>
          <w:sz w:val="24"/>
          <w:szCs w:val="24"/>
          <w:lang w:eastAsia="cs-CZ"/>
        </w:rPr>
      </w:pPr>
      <w:r w:rsidRPr="003040F4">
        <w:rPr>
          <w:rFonts w:ascii="Times New Roman" w:eastAsia="Times New Roman" w:hAnsi="Times New Roman" w:cs="Times New Roman"/>
          <w:kern w:val="2"/>
          <w:sz w:val="24"/>
          <w:szCs w:val="24"/>
          <w:lang w:eastAsia="cs-CZ"/>
        </w:rPr>
        <w:t>Součástí posouzení stavby musí být posouzení souladu s kritérii danými výše uvedeným evropským nařízením. K tomu viz též metodika MŽP</w:t>
      </w:r>
      <w:r w:rsidRPr="003040F4">
        <w:rPr>
          <w:rFonts w:ascii="Times New Roman" w:hAnsi="Times New Roman" w:cs="Times New Roman"/>
          <w:sz w:val="24"/>
          <w:szCs w:val="24"/>
        </w:rPr>
        <w:t xml:space="preserve"> </w:t>
      </w:r>
      <w:r w:rsidRPr="003040F4">
        <w:rPr>
          <w:rFonts w:ascii="Times New Roman" w:eastAsia="Times New Roman" w:hAnsi="Times New Roman" w:cs="Times New Roman"/>
          <w:kern w:val="2"/>
          <w:sz w:val="24"/>
          <w:szCs w:val="24"/>
          <w:lang w:eastAsia="cs-CZ"/>
        </w:rPr>
        <w:t>Rámcová vodítka pro implementaci zásady „významně nepoškozovat“ životní prostředí (DNSH) a prověřování infrastruktury z hlediska klimatického dopadu v EU fondech v ČR, str. 30 cit: „Orientační seznam infrastruktury, která podléhá posouzení CP: Dopravní infrastruktura, silnice a dálnice.</w:t>
      </w:r>
      <w:r w:rsidR="001879A5" w:rsidRPr="003040F4">
        <w:rPr>
          <w:rFonts w:ascii="Times New Roman" w:eastAsia="Times New Roman" w:hAnsi="Times New Roman" w:cs="Times New Roman"/>
          <w:kern w:val="2"/>
          <w:sz w:val="24"/>
          <w:szCs w:val="24"/>
          <w:lang w:eastAsia="cs-CZ"/>
        </w:rPr>
        <w:t xml:space="preserve"> </w:t>
      </w:r>
      <w:r w:rsidRPr="003040F4">
        <w:rPr>
          <w:rFonts w:ascii="Times New Roman" w:eastAsia="Times New Roman" w:hAnsi="Times New Roman" w:cs="Times New Roman"/>
          <w:kern w:val="2"/>
          <w:sz w:val="24"/>
          <w:szCs w:val="24"/>
          <w:lang w:eastAsia="cs-CZ"/>
        </w:rPr>
        <w:t>Takové posouzení však v případě předmětné stavby provedeno nebylo.</w:t>
      </w:r>
    </w:p>
    <w:p w14:paraId="67F5FDC2" w14:textId="77777777" w:rsidR="00CD494C" w:rsidRPr="003040F4" w:rsidRDefault="00CD494C" w:rsidP="00E91AA7">
      <w:pPr>
        <w:widowControl w:val="0"/>
        <w:suppressAutoHyphens/>
        <w:autoSpaceDE w:val="0"/>
        <w:autoSpaceDN w:val="0"/>
        <w:adjustRightInd w:val="0"/>
        <w:spacing w:after="0"/>
        <w:rPr>
          <w:rFonts w:ascii="Times New Roman" w:eastAsia="Times New Roman" w:hAnsi="Times New Roman" w:cs="Times New Roman"/>
          <w:b/>
          <w:kern w:val="24"/>
          <w:sz w:val="24"/>
          <w:szCs w:val="24"/>
          <w:lang w:eastAsia="cs-CZ"/>
        </w:rPr>
      </w:pPr>
    </w:p>
    <w:p w14:paraId="4D20F944" w14:textId="5EA767BE" w:rsidR="00F3165D" w:rsidRPr="003040F4" w:rsidRDefault="00F3165D" w:rsidP="001879A5">
      <w:pPr>
        <w:widowControl w:val="0"/>
        <w:suppressAutoHyphens/>
        <w:autoSpaceDE w:val="0"/>
        <w:autoSpaceDN w:val="0"/>
        <w:adjustRightInd w:val="0"/>
        <w:spacing w:after="0"/>
        <w:ind w:firstLine="352"/>
        <w:contextualSpacing/>
        <w:jc w:val="center"/>
        <w:rPr>
          <w:rFonts w:ascii="Times New Roman" w:eastAsia="Times New Roman" w:hAnsi="Times New Roman" w:cs="Times New Roman"/>
          <w:b/>
          <w:kern w:val="24"/>
          <w:sz w:val="24"/>
          <w:szCs w:val="24"/>
          <w:lang w:eastAsia="cs-CZ"/>
        </w:rPr>
      </w:pPr>
      <w:r w:rsidRPr="003040F4">
        <w:rPr>
          <w:rFonts w:ascii="Times New Roman" w:eastAsia="Times New Roman" w:hAnsi="Times New Roman" w:cs="Times New Roman"/>
          <w:b/>
          <w:kern w:val="24"/>
          <w:sz w:val="24"/>
          <w:szCs w:val="24"/>
          <w:lang w:eastAsia="cs-CZ"/>
        </w:rPr>
        <w:t>Závěr</w:t>
      </w:r>
    </w:p>
    <w:p w14:paraId="39D1BA7D" w14:textId="77777777" w:rsidR="001879A5" w:rsidRPr="003040F4" w:rsidRDefault="001879A5" w:rsidP="001879A5">
      <w:pPr>
        <w:widowControl w:val="0"/>
        <w:suppressAutoHyphens/>
        <w:autoSpaceDE w:val="0"/>
        <w:autoSpaceDN w:val="0"/>
        <w:adjustRightInd w:val="0"/>
        <w:spacing w:after="0"/>
        <w:ind w:firstLine="352"/>
        <w:contextualSpacing/>
        <w:jc w:val="center"/>
        <w:rPr>
          <w:rFonts w:ascii="Times New Roman" w:eastAsia="Times New Roman" w:hAnsi="Times New Roman" w:cs="Times New Roman"/>
          <w:b/>
          <w:kern w:val="24"/>
          <w:sz w:val="24"/>
          <w:szCs w:val="24"/>
          <w:lang w:eastAsia="cs-CZ"/>
        </w:rPr>
      </w:pPr>
    </w:p>
    <w:p w14:paraId="2FFF0979" w14:textId="5C96E94F" w:rsidR="001879A5" w:rsidRPr="003040F4" w:rsidRDefault="00F3165D" w:rsidP="001879A5">
      <w:pPr>
        <w:widowControl w:val="0"/>
        <w:suppressAutoHyphens/>
        <w:autoSpaceDE w:val="0"/>
        <w:autoSpaceDN w:val="0"/>
        <w:adjustRightInd w:val="0"/>
        <w:ind w:firstLine="709"/>
        <w:contextualSpacing/>
        <w:jc w:val="both"/>
        <w:rPr>
          <w:rFonts w:ascii="Times New Roman" w:hAnsi="Times New Roman" w:cs="Times New Roman"/>
          <w:b/>
          <w:sz w:val="24"/>
          <w:szCs w:val="24"/>
        </w:rPr>
      </w:pPr>
      <w:r w:rsidRPr="003040F4">
        <w:rPr>
          <w:rFonts w:ascii="Times New Roman" w:eastAsia="Times New Roman" w:hAnsi="Times New Roman" w:cs="Times New Roman"/>
          <w:b/>
          <w:kern w:val="24"/>
          <w:sz w:val="24"/>
          <w:szCs w:val="24"/>
          <w:lang w:eastAsia="cs-CZ"/>
        </w:rPr>
        <w:t>Se shora uvedených důvodů</w:t>
      </w:r>
      <w:r w:rsidR="00C169C2">
        <w:rPr>
          <w:rFonts w:ascii="Times New Roman" w:eastAsia="Times New Roman" w:hAnsi="Times New Roman" w:cs="Times New Roman"/>
          <w:b/>
          <w:kern w:val="24"/>
          <w:sz w:val="24"/>
          <w:szCs w:val="24"/>
          <w:lang w:eastAsia="cs-CZ"/>
        </w:rPr>
        <w:t xml:space="preserve"> shora nadepsaný účastník požaduje</w:t>
      </w:r>
      <w:r w:rsidRPr="003040F4">
        <w:rPr>
          <w:rFonts w:ascii="Times New Roman" w:eastAsia="Times New Roman" w:hAnsi="Times New Roman" w:cs="Times New Roman"/>
          <w:b/>
          <w:kern w:val="24"/>
          <w:sz w:val="24"/>
          <w:szCs w:val="24"/>
          <w:lang w:eastAsia="cs-CZ"/>
        </w:rPr>
        <w:t xml:space="preserve">, aby stavební úřad řízení o žádosti o vydání rozhodnutí o umístění stavby </w:t>
      </w:r>
      <w:r w:rsidR="00C350B2" w:rsidRPr="003040F4">
        <w:rPr>
          <w:rFonts w:ascii="Times New Roman" w:eastAsia="Times New Roman" w:hAnsi="Times New Roman" w:cs="Times New Roman"/>
          <w:b/>
          <w:kern w:val="24"/>
          <w:sz w:val="24"/>
          <w:szCs w:val="24"/>
          <w:lang w:eastAsia="cs-CZ"/>
        </w:rPr>
        <w:t>nazvané „</w:t>
      </w:r>
      <w:r w:rsidR="002E0492" w:rsidRPr="003040F4">
        <w:rPr>
          <w:rFonts w:ascii="Times New Roman" w:eastAsia="Times New Roman" w:hAnsi="Times New Roman" w:cs="Times New Roman"/>
          <w:b/>
          <w:kern w:val="24"/>
          <w:sz w:val="24"/>
          <w:szCs w:val="24"/>
          <w:lang w:eastAsia="cs-CZ"/>
        </w:rPr>
        <w:t>D3 0301 - 0303 Praha – Václavice</w:t>
      </w:r>
      <w:r w:rsidR="00C350B2" w:rsidRPr="003040F4">
        <w:rPr>
          <w:rFonts w:ascii="Times New Roman" w:eastAsia="Times New Roman" w:hAnsi="Times New Roman" w:cs="Times New Roman"/>
          <w:b/>
          <w:kern w:val="24"/>
          <w:sz w:val="24"/>
          <w:szCs w:val="24"/>
          <w:lang w:eastAsia="cs-CZ"/>
        </w:rPr>
        <w:t>“</w:t>
      </w:r>
      <w:r w:rsidRPr="003040F4">
        <w:rPr>
          <w:rFonts w:ascii="Times New Roman" w:hAnsi="Times New Roman" w:cs="Times New Roman"/>
          <w:b/>
          <w:sz w:val="24"/>
          <w:szCs w:val="24"/>
        </w:rPr>
        <w:t xml:space="preserve"> zamítl, popřípadě přerušil do doby vyřešení výše uvedených námitek.</w:t>
      </w:r>
    </w:p>
    <w:p w14:paraId="583C0A13" w14:textId="075F4217" w:rsidR="00123944" w:rsidRDefault="00123944" w:rsidP="009602B5">
      <w:pPr>
        <w:widowControl w:val="0"/>
        <w:suppressAutoHyphens/>
        <w:autoSpaceDE w:val="0"/>
        <w:autoSpaceDN w:val="0"/>
        <w:adjustRightInd w:val="0"/>
        <w:contextualSpacing/>
        <w:jc w:val="both"/>
        <w:rPr>
          <w:rFonts w:ascii="Times New Roman" w:hAnsi="Times New Roman" w:cs="Times New Roman"/>
          <w:sz w:val="24"/>
          <w:szCs w:val="24"/>
        </w:rPr>
      </w:pPr>
    </w:p>
    <w:p w14:paraId="50186CD4" w14:textId="77777777" w:rsidR="009602B5" w:rsidRDefault="009602B5" w:rsidP="009602B5">
      <w:pPr>
        <w:widowControl w:val="0"/>
        <w:suppressAutoHyphens/>
        <w:autoSpaceDE w:val="0"/>
        <w:autoSpaceDN w:val="0"/>
        <w:adjustRightInd w:val="0"/>
        <w:contextualSpacing/>
        <w:jc w:val="both"/>
        <w:rPr>
          <w:rFonts w:ascii="Times New Roman" w:hAnsi="Times New Roman" w:cs="Times New Roman"/>
          <w:sz w:val="24"/>
          <w:szCs w:val="24"/>
        </w:rPr>
      </w:pPr>
    </w:p>
    <w:p w14:paraId="1B6636B6" w14:textId="77777777" w:rsidR="009602B5" w:rsidRDefault="009602B5" w:rsidP="009602B5">
      <w:pPr>
        <w:widowControl w:val="0"/>
        <w:suppressAutoHyphens/>
        <w:autoSpaceDE w:val="0"/>
        <w:autoSpaceDN w:val="0"/>
        <w:adjustRightInd w:val="0"/>
        <w:contextualSpacing/>
        <w:jc w:val="both"/>
        <w:rPr>
          <w:rFonts w:ascii="Times New Roman" w:hAnsi="Times New Roman" w:cs="Times New Roman"/>
          <w:sz w:val="24"/>
          <w:szCs w:val="24"/>
        </w:rPr>
      </w:pPr>
    </w:p>
    <w:p w14:paraId="2F55040A" w14:textId="075ED9EB" w:rsidR="009602B5" w:rsidRPr="009602B5" w:rsidRDefault="009602B5" w:rsidP="009602B5">
      <w:pPr>
        <w:widowControl w:val="0"/>
        <w:suppressAutoHyphens/>
        <w:autoSpaceDE w:val="0"/>
        <w:autoSpaceDN w:val="0"/>
        <w:adjustRightInd w:val="0"/>
        <w:contextualSpacing/>
        <w:jc w:val="right"/>
        <w:rPr>
          <w:rFonts w:ascii="Times New Roman" w:hAnsi="Times New Roman" w:cs="Times New Roman"/>
          <w:sz w:val="24"/>
          <w:szCs w:val="24"/>
        </w:rPr>
      </w:pPr>
      <w:r>
        <w:rPr>
          <w:rFonts w:ascii="Times New Roman" w:hAnsi="Times New Roman" w:cs="Times New Roman"/>
          <w:sz w:val="24"/>
          <w:szCs w:val="24"/>
        </w:rPr>
        <w:t>…………………………………</w:t>
      </w:r>
    </w:p>
    <w:sectPr w:rsidR="009602B5" w:rsidRPr="009602B5" w:rsidSect="00571AF0">
      <w:headerReference w:type="first" r:id="rId8"/>
      <w:footerReference w:type="first" r:id="rId9"/>
      <w:pgSz w:w="11906" w:h="16838" w:code="9"/>
      <w:pgMar w:top="1985"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800E" w14:textId="77777777" w:rsidR="00FB4C2D" w:rsidRDefault="00FB4C2D" w:rsidP="00B653EC">
      <w:r>
        <w:separator/>
      </w:r>
    </w:p>
  </w:endnote>
  <w:endnote w:type="continuationSeparator" w:id="0">
    <w:p w14:paraId="4FF59D75" w14:textId="77777777" w:rsidR="00FB4C2D" w:rsidRDefault="00FB4C2D" w:rsidP="00B6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9762" w14:textId="1B54E633" w:rsidR="00A80B58" w:rsidRDefault="00A80B58" w:rsidP="00411D60">
    <w:pPr>
      <w:pStyle w:val="Poboky"/>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591D" w14:textId="77777777" w:rsidR="00FB4C2D" w:rsidRDefault="00FB4C2D" w:rsidP="00B653EC">
      <w:r>
        <w:separator/>
      </w:r>
    </w:p>
  </w:footnote>
  <w:footnote w:type="continuationSeparator" w:id="0">
    <w:p w14:paraId="55AA6A05" w14:textId="77777777" w:rsidR="00FB4C2D" w:rsidRDefault="00FB4C2D" w:rsidP="00B6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5E6E" w14:textId="7274160D" w:rsidR="00B63EE8" w:rsidRDefault="00B63EE8" w:rsidP="00395D6E">
    <w:pPr>
      <w:pStyle w:val="Zhlav"/>
      <w:tabs>
        <w:tab w:val="clear" w:pos="4536"/>
        <w:tab w:val="clear" w:pos="9072"/>
        <w:tab w:val="center" w:pos="41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3ACB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38EA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24BA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9EE9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FC71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DA2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C08B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04F2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8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AE8F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2"/>
    <w:multiLevelType w:val="singleLevel"/>
    <w:tmpl w:val="00000002"/>
    <w:name w:val="WW8Num2"/>
    <w:lvl w:ilvl="0">
      <w:start w:val="2"/>
      <w:numFmt w:val="bullet"/>
      <w:lvlText w:val="-"/>
      <w:lvlJc w:val="left"/>
      <w:pPr>
        <w:tabs>
          <w:tab w:val="num" w:pos="0"/>
        </w:tabs>
        <w:ind w:left="720" w:hanging="360"/>
      </w:pPr>
      <w:rPr>
        <w:rFonts w:ascii="Times New Roman" w:hAnsi="Times New Roman" w:cs="Times New Roman"/>
      </w:r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1080" w:hanging="360"/>
      </w:pPr>
      <w:rPr>
        <w:rFonts w:ascii="Arial" w:hAnsi="Arial"/>
      </w:rPr>
    </w:lvl>
  </w:abstractNum>
  <w:abstractNum w:abstractNumId="13" w15:restartNumberingAfterBreak="0">
    <w:nsid w:val="001C50C2"/>
    <w:multiLevelType w:val="hybridMultilevel"/>
    <w:tmpl w:val="CF662A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284284D"/>
    <w:multiLevelType w:val="hybridMultilevel"/>
    <w:tmpl w:val="9B20C93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0470613C"/>
    <w:multiLevelType w:val="hybridMultilevel"/>
    <w:tmpl w:val="BA0038BE"/>
    <w:lvl w:ilvl="0" w:tplc="26448C7A">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6" w15:restartNumberingAfterBreak="0">
    <w:nsid w:val="067A359F"/>
    <w:multiLevelType w:val="hybridMultilevel"/>
    <w:tmpl w:val="AEB4B6F2"/>
    <w:lvl w:ilvl="0" w:tplc="1DBE84F8">
      <w:numFmt w:val="bullet"/>
      <w:lvlText w:val="-"/>
      <w:lvlJc w:val="left"/>
      <w:pPr>
        <w:ind w:left="1080" w:hanging="360"/>
      </w:pPr>
      <w:rPr>
        <w:rFonts w:ascii="Arial" w:eastAsiaTheme="minorHAns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7" w15:restartNumberingAfterBreak="0">
    <w:nsid w:val="06F52238"/>
    <w:multiLevelType w:val="hybridMultilevel"/>
    <w:tmpl w:val="DA5E07C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0B060B23"/>
    <w:multiLevelType w:val="hybridMultilevel"/>
    <w:tmpl w:val="EC9A6A94"/>
    <w:lvl w:ilvl="0" w:tplc="256E692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C4C7B1A"/>
    <w:multiLevelType w:val="multilevel"/>
    <w:tmpl w:val="F2066664"/>
    <w:lvl w:ilvl="0">
      <w:start w:val="1"/>
      <w:numFmt w:val="decimal"/>
      <w:lvlText w:val="%1."/>
      <w:lvlJc w:val="left"/>
      <w:pPr>
        <w:ind w:left="1069" w:hanging="360"/>
      </w:pPr>
      <w:rPr>
        <w:rFonts w:ascii="Times New Roman" w:hAnsi="Times New Roman" w:cs="Times New Roman" w:hint="default"/>
        <w:b/>
        <w:bCs w:val="0"/>
      </w:rPr>
    </w:lvl>
    <w:lvl w:ilvl="1">
      <w:start w:val="1"/>
      <w:numFmt w:val="decimal"/>
      <w:isLgl/>
      <w:lvlText w:val="%1.%2."/>
      <w:lvlJc w:val="left"/>
      <w:pPr>
        <w:ind w:left="1146" w:hanging="720"/>
      </w:pPr>
      <w:rPr>
        <w:rFonts w:hint="default"/>
        <w:b/>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0D6915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822FA"/>
    <w:multiLevelType w:val="hybridMultilevel"/>
    <w:tmpl w:val="2A9AC356"/>
    <w:lvl w:ilvl="0" w:tplc="4534601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8E9643D"/>
    <w:multiLevelType w:val="hybridMultilevel"/>
    <w:tmpl w:val="9C84FB6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1A8C2B75"/>
    <w:multiLevelType w:val="hybridMultilevel"/>
    <w:tmpl w:val="CDEC5EEA"/>
    <w:lvl w:ilvl="0" w:tplc="FB101EC0">
      <w:start w:val="3"/>
      <w:numFmt w:val="bullet"/>
      <w:lvlText w:val="-"/>
      <w:lvlJc w:val="left"/>
      <w:pPr>
        <w:ind w:left="360" w:hanging="360"/>
      </w:pPr>
      <w:rPr>
        <w:rFonts w:ascii="Arial" w:eastAsia="Calibr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1F39112B"/>
    <w:multiLevelType w:val="hybridMultilevel"/>
    <w:tmpl w:val="B692A2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1FDE4A7C"/>
    <w:multiLevelType w:val="hybridMultilevel"/>
    <w:tmpl w:val="7FE27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023039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6B81E33"/>
    <w:multiLevelType w:val="hybridMultilevel"/>
    <w:tmpl w:val="08F27D1C"/>
    <w:lvl w:ilvl="0" w:tplc="75082C98">
      <w:start w:val="111"/>
      <w:numFmt w:val="bullet"/>
      <w:lvlText w:val="-"/>
      <w:lvlJc w:val="left"/>
      <w:pPr>
        <w:ind w:left="870" w:hanging="360"/>
      </w:pPr>
      <w:rPr>
        <w:rFonts w:ascii="Times New Roman" w:eastAsia="Times New Roman" w:hAnsi="Times New Roman" w:cs="Times New Roman" w:hint="default"/>
        <w:sz w:val="24"/>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8" w15:restartNumberingAfterBreak="0">
    <w:nsid w:val="2B1E49F6"/>
    <w:multiLevelType w:val="multilevel"/>
    <w:tmpl w:val="ADE47B22"/>
    <w:lvl w:ilvl="0">
      <w:start w:val="1"/>
      <w:numFmt w:val="decimal"/>
      <w:lvlText w:val="%1."/>
      <w:lvlJc w:val="left"/>
      <w:pPr>
        <w:tabs>
          <w:tab w:val="num" w:pos="0"/>
        </w:tabs>
        <w:ind w:left="360" w:hanging="360"/>
      </w:pPr>
      <w:rPr>
        <w:rFonts w:ascii="Arial" w:hAnsi="Arial" w:cs="Arial"/>
        <w:b/>
        <w:i w:val="0"/>
        <w:iCs w:val="0"/>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348F0B56"/>
    <w:multiLevelType w:val="multilevel"/>
    <w:tmpl w:val="0A5007EE"/>
    <w:lvl w:ilvl="0">
      <w:start w:val="1"/>
      <w:numFmt w:val="decimal"/>
      <w:lvlText w:val="%1."/>
      <w:lvlJc w:val="left"/>
      <w:pPr>
        <w:ind w:left="1069" w:hanging="360"/>
      </w:pPr>
      <w:rPr>
        <w:rFonts w:ascii="Arial" w:hAnsi="Arial" w:cs="Arial" w:hint="default"/>
        <w:b/>
        <w:bCs w:val="0"/>
      </w:rPr>
    </w:lvl>
    <w:lvl w:ilvl="1">
      <w:start w:val="1"/>
      <w:numFmt w:val="decimal"/>
      <w:isLgl/>
      <w:lvlText w:val="%1.%2."/>
      <w:lvlJc w:val="left"/>
      <w:pPr>
        <w:ind w:left="1146" w:hanging="720"/>
      </w:pPr>
      <w:rPr>
        <w:rFonts w:hint="default"/>
        <w:b/>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38280EBF"/>
    <w:multiLevelType w:val="hybridMultilevel"/>
    <w:tmpl w:val="561E0CE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386A058C"/>
    <w:multiLevelType w:val="hybridMultilevel"/>
    <w:tmpl w:val="40209434"/>
    <w:lvl w:ilvl="0" w:tplc="606802D6">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0A77D01"/>
    <w:multiLevelType w:val="hybridMultilevel"/>
    <w:tmpl w:val="A432A5A0"/>
    <w:lvl w:ilvl="0" w:tplc="85466B92">
      <w:start w:val="1"/>
      <w:numFmt w:val="decimal"/>
      <w:lvlText w:val="%1."/>
      <w:lvlJc w:val="left"/>
      <w:pPr>
        <w:ind w:left="862" w:hanging="360"/>
      </w:pPr>
      <w:rPr>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3" w15:restartNumberingAfterBreak="0">
    <w:nsid w:val="42C70B7E"/>
    <w:multiLevelType w:val="hybridMultilevel"/>
    <w:tmpl w:val="59D818A6"/>
    <w:lvl w:ilvl="0" w:tplc="5428D45C">
      <w:start w:val="8"/>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434D1E7D"/>
    <w:multiLevelType w:val="hybridMultilevel"/>
    <w:tmpl w:val="9BE63F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4D2459"/>
    <w:multiLevelType w:val="hybridMultilevel"/>
    <w:tmpl w:val="63B6D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ADC0016"/>
    <w:multiLevelType w:val="hybridMultilevel"/>
    <w:tmpl w:val="3B9E6C04"/>
    <w:lvl w:ilvl="0" w:tplc="4534601C">
      <w:numFmt w:val="bullet"/>
      <w:lvlText w:val="-"/>
      <w:lvlJc w:val="left"/>
      <w:pPr>
        <w:ind w:left="720" w:hanging="360"/>
      </w:pPr>
      <w:rPr>
        <w:rFonts w:ascii="Times New Roman" w:eastAsia="Calibri" w:hAnsi="Times New Roman" w:cs="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5D9B4682"/>
    <w:multiLevelType w:val="hybridMultilevel"/>
    <w:tmpl w:val="19F05794"/>
    <w:lvl w:ilvl="0" w:tplc="BA943644">
      <w:start w:val="1"/>
      <w:numFmt w:val="decimal"/>
      <w:lvlText w:val="%1."/>
      <w:lvlJc w:val="left"/>
      <w:pPr>
        <w:ind w:left="360" w:firstLine="0"/>
      </w:pPr>
      <w:rPr>
        <w:rFonts w:eastAsia="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64276C1F"/>
    <w:multiLevelType w:val="multilevel"/>
    <w:tmpl w:val="643EFE42"/>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605D41"/>
    <w:multiLevelType w:val="hybridMultilevel"/>
    <w:tmpl w:val="617C2876"/>
    <w:lvl w:ilvl="0" w:tplc="F67ECBEA">
      <w:start w:val="1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5746122"/>
    <w:multiLevelType w:val="hybridMultilevel"/>
    <w:tmpl w:val="3386E89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7BE34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6F1DB5"/>
    <w:multiLevelType w:val="hybridMultilevel"/>
    <w:tmpl w:val="B69AA7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261A48"/>
    <w:multiLevelType w:val="hybridMultilevel"/>
    <w:tmpl w:val="C6B6D266"/>
    <w:lvl w:ilvl="0" w:tplc="E9340A0A">
      <w:start w:val="1"/>
      <w:numFmt w:val="decimal"/>
      <w:lvlText w:val="%1."/>
      <w:lvlJc w:val="left"/>
      <w:pPr>
        <w:ind w:left="360" w:hanging="360"/>
      </w:pPr>
      <w:rPr>
        <w:rFonts w:ascii="Arial" w:hAnsi="Arial" w:hint="default"/>
        <w:b/>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E12799E"/>
    <w:multiLevelType w:val="hybridMultilevel"/>
    <w:tmpl w:val="99945930"/>
    <w:lvl w:ilvl="0" w:tplc="34D2A2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360E38"/>
    <w:multiLevelType w:val="hybridMultilevel"/>
    <w:tmpl w:val="F6908BE2"/>
    <w:lvl w:ilvl="0" w:tplc="1C2C1938">
      <w:start w:val="38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CE3330"/>
    <w:multiLevelType w:val="hybridMultilevel"/>
    <w:tmpl w:val="DE7E0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D382935"/>
    <w:multiLevelType w:val="hybridMultilevel"/>
    <w:tmpl w:val="FD68184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8" w15:restartNumberingAfterBreak="0">
    <w:nsid w:val="7F9B1FED"/>
    <w:multiLevelType w:val="hybridMultilevel"/>
    <w:tmpl w:val="85CA381A"/>
    <w:lvl w:ilvl="0" w:tplc="704C70C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01243171">
    <w:abstractNumId w:val="8"/>
  </w:num>
  <w:num w:numId="2" w16cid:durableId="1295208887">
    <w:abstractNumId w:val="3"/>
  </w:num>
  <w:num w:numId="3" w16cid:durableId="96681804">
    <w:abstractNumId w:val="2"/>
  </w:num>
  <w:num w:numId="4" w16cid:durableId="357007315">
    <w:abstractNumId w:val="1"/>
  </w:num>
  <w:num w:numId="5" w16cid:durableId="1524441447">
    <w:abstractNumId w:val="0"/>
  </w:num>
  <w:num w:numId="6" w16cid:durableId="893009373">
    <w:abstractNumId w:val="9"/>
  </w:num>
  <w:num w:numId="7" w16cid:durableId="370693180">
    <w:abstractNumId w:val="7"/>
  </w:num>
  <w:num w:numId="8" w16cid:durableId="450176108">
    <w:abstractNumId w:val="6"/>
  </w:num>
  <w:num w:numId="9" w16cid:durableId="583952358">
    <w:abstractNumId w:val="5"/>
  </w:num>
  <w:num w:numId="10" w16cid:durableId="1732998201">
    <w:abstractNumId w:val="4"/>
  </w:num>
  <w:num w:numId="11" w16cid:durableId="141185449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649167">
    <w:abstractNumId w:val="18"/>
  </w:num>
  <w:num w:numId="13" w16cid:durableId="1847212792">
    <w:abstractNumId w:val="12"/>
  </w:num>
  <w:num w:numId="14" w16cid:durableId="23485006">
    <w:abstractNumId w:val="39"/>
  </w:num>
  <w:num w:numId="15" w16cid:durableId="1375696628">
    <w:abstractNumId w:val="24"/>
  </w:num>
  <w:num w:numId="16" w16cid:durableId="402722506">
    <w:abstractNumId w:val="43"/>
  </w:num>
  <w:num w:numId="17" w16cid:durableId="1571429646">
    <w:abstractNumId w:val="10"/>
  </w:num>
  <w:num w:numId="18" w16cid:durableId="1399668902">
    <w:abstractNumId w:val="45"/>
  </w:num>
  <w:num w:numId="19" w16cid:durableId="835613578">
    <w:abstractNumId w:val="31"/>
  </w:num>
  <w:num w:numId="20" w16cid:durableId="1097143118">
    <w:abstractNumId w:val="27"/>
  </w:num>
  <w:num w:numId="21" w16cid:durableId="1472944286">
    <w:abstractNumId w:val="15"/>
  </w:num>
  <w:num w:numId="22" w16cid:durableId="243339562">
    <w:abstractNumId w:val="40"/>
  </w:num>
  <w:num w:numId="23" w16cid:durableId="1795098312">
    <w:abstractNumId w:val="44"/>
  </w:num>
  <w:num w:numId="24" w16cid:durableId="1384870081">
    <w:abstractNumId w:val="30"/>
  </w:num>
  <w:num w:numId="25" w16cid:durableId="1246644454">
    <w:abstractNumId w:val="13"/>
  </w:num>
  <w:num w:numId="26" w16cid:durableId="2138910945">
    <w:abstractNumId w:val="38"/>
  </w:num>
  <w:num w:numId="27" w16cid:durableId="134638888">
    <w:abstractNumId w:val="28"/>
  </w:num>
  <w:num w:numId="28" w16cid:durableId="820855249">
    <w:abstractNumId w:val="34"/>
  </w:num>
  <w:num w:numId="29" w16cid:durableId="1895921880">
    <w:abstractNumId w:val="21"/>
  </w:num>
  <w:num w:numId="30" w16cid:durableId="402604301">
    <w:abstractNumId w:val="23"/>
  </w:num>
  <w:num w:numId="31" w16cid:durableId="1315646360">
    <w:abstractNumId w:val="32"/>
  </w:num>
  <w:num w:numId="32" w16cid:durableId="421991704">
    <w:abstractNumId w:val="46"/>
  </w:num>
  <w:num w:numId="33" w16cid:durableId="2043626242">
    <w:abstractNumId w:val="35"/>
  </w:num>
  <w:num w:numId="34" w16cid:durableId="832375648">
    <w:abstractNumId w:val="19"/>
  </w:num>
  <w:num w:numId="35" w16cid:durableId="734856072">
    <w:abstractNumId w:val="33"/>
  </w:num>
  <w:num w:numId="36" w16cid:durableId="827936269">
    <w:abstractNumId w:val="22"/>
  </w:num>
  <w:num w:numId="37" w16cid:durableId="2108378250">
    <w:abstractNumId w:val="25"/>
  </w:num>
  <w:num w:numId="38" w16cid:durableId="363754420">
    <w:abstractNumId w:val="14"/>
  </w:num>
  <w:num w:numId="39" w16cid:durableId="1644045167">
    <w:abstractNumId w:val="17"/>
  </w:num>
  <w:num w:numId="40" w16cid:durableId="2109962694">
    <w:abstractNumId w:val="47"/>
  </w:num>
  <w:num w:numId="41" w16cid:durableId="7080687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7168509">
    <w:abstractNumId w:val="16"/>
  </w:num>
  <w:num w:numId="43" w16cid:durableId="389505120">
    <w:abstractNumId w:val="11"/>
  </w:num>
  <w:num w:numId="44" w16cid:durableId="810757816">
    <w:abstractNumId w:val="19"/>
  </w:num>
  <w:num w:numId="45" w16cid:durableId="1158765056">
    <w:abstractNumId w:val="16"/>
  </w:num>
  <w:num w:numId="46" w16cid:durableId="443698402">
    <w:abstractNumId w:val="11"/>
  </w:num>
  <w:num w:numId="47" w16cid:durableId="724061124">
    <w:abstractNumId w:val="42"/>
  </w:num>
  <w:num w:numId="48" w16cid:durableId="1195268869">
    <w:abstractNumId w:val="26"/>
  </w:num>
  <w:num w:numId="49" w16cid:durableId="63190953">
    <w:abstractNumId w:val="20"/>
  </w:num>
  <w:num w:numId="50" w16cid:durableId="152188403">
    <w:abstractNumId w:val="41"/>
  </w:num>
  <w:num w:numId="51" w16cid:durableId="357631591">
    <w:abstractNumId w:val="29"/>
  </w:num>
  <w:num w:numId="52" w16cid:durableId="62765995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EC"/>
    <w:rsid w:val="00003AB0"/>
    <w:rsid w:val="000176E5"/>
    <w:rsid w:val="00024792"/>
    <w:rsid w:val="0003163F"/>
    <w:rsid w:val="000512CC"/>
    <w:rsid w:val="00056490"/>
    <w:rsid w:val="00056987"/>
    <w:rsid w:val="00082D1B"/>
    <w:rsid w:val="0009526F"/>
    <w:rsid w:val="000952AF"/>
    <w:rsid w:val="000A2C2D"/>
    <w:rsid w:val="000A6373"/>
    <w:rsid w:val="000B04A7"/>
    <w:rsid w:val="000B0C28"/>
    <w:rsid w:val="000D2306"/>
    <w:rsid w:val="000D7B85"/>
    <w:rsid w:val="000E0262"/>
    <w:rsid w:val="000E4552"/>
    <w:rsid w:val="000E7BB6"/>
    <w:rsid w:val="00102DAA"/>
    <w:rsid w:val="00123944"/>
    <w:rsid w:val="00134BC5"/>
    <w:rsid w:val="00140F45"/>
    <w:rsid w:val="00141285"/>
    <w:rsid w:val="00141FC4"/>
    <w:rsid w:val="00145477"/>
    <w:rsid w:val="00145767"/>
    <w:rsid w:val="00146564"/>
    <w:rsid w:val="00154A8A"/>
    <w:rsid w:val="0015568E"/>
    <w:rsid w:val="00164F70"/>
    <w:rsid w:val="0016587D"/>
    <w:rsid w:val="00174926"/>
    <w:rsid w:val="00176CBF"/>
    <w:rsid w:val="001858DA"/>
    <w:rsid w:val="001865C1"/>
    <w:rsid w:val="00187132"/>
    <w:rsid w:val="001879A5"/>
    <w:rsid w:val="00193714"/>
    <w:rsid w:val="00195C65"/>
    <w:rsid w:val="00197A52"/>
    <w:rsid w:val="001B2465"/>
    <w:rsid w:val="001D066C"/>
    <w:rsid w:val="001D333A"/>
    <w:rsid w:val="001D5535"/>
    <w:rsid w:val="001D58F1"/>
    <w:rsid w:val="001D6653"/>
    <w:rsid w:val="001E1390"/>
    <w:rsid w:val="001E1E40"/>
    <w:rsid w:val="001F13BA"/>
    <w:rsid w:val="001F5BFF"/>
    <w:rsid w:val="001F7B27"/>
    <w:rsid w:val="00202E3B"/>
    <w:rsid w:val="00203745"/>
    <w:rsid w:val="00206B36"/>
    <w:rsid w:val="002157F2"/>
    <w:rsid w:val="002204EE"/>
    <w:rsid w:val="0022139F"/>
    <w:rsid w:val="00222826"/>
    <w:rsid w:val="00226995"/>
    <w:rsid w:val="00236AFC"/>
    <w:rsid w:val="00240CAD"/>
    <w:rsid w:val="002515D3"/>
    <w:rsid w:val="00260E42"/>
    <w:rsid w:val="00265FCF"/>
    <w:rsid w:val="00271446"/>
    <w:rsid w:val="00275B56"/>
    <w:rsid w:val="00284930"/>
    <w:rsid w:val="002975CF"/>
    <w:rsid w:val="002B24D9"/>
    <w:rsid w:val="002D04C8"/>
    <w:rsid w:val="002D0983"/>
    <w:rsid w:val="002D2234"/>
    <w:rsid w:val="002E0492"/>
    <w:rsid w:val="002E5ED4"/>
    <w:rsid w:val="002F1F2B"/>
    <w:rsid w:val="002F7A0A"/>
    <w:rsid w:val="003040F4"/>
    <w:rsid w:val="00304F2A"/>
    <w:rsid w:val="0031730C"/>
    <w:rsid w:val="00331BA7"/>
    <w:rsid w:val="003334C2"/>
    <w:rsid w:val="003334EF"/>
    <w:rsid w:val="003414CF"/>
    <w:rsid w:val="0034556F"/>
    <w:rsid w:val="00347C0C"/>
    <w:rsid w:val="00353F80"/>
    <w:rsid w:val="003561BF"/>
    <w:rsid w:val="003664AF"/>
    <w:rsid w:val="00366F1E"/>
    <w:rsid w:val="00367F51"/>
    <w:rsid w:val="00367FD7"/>
    <w:rsid w:val="00372ED6"/>
    <w:rsid w:val="00374384"/>
    <w:rsid w:val="003746C7"/>
    <w:rsid w:val="00381AEC"/>
    <w:rsid w:val="00386C81"/>
    <w:rsid w:val="003913E6"/>
    <w:rsid w:val="00395D6E"/>
    <w:rsid w:val="003B080A"/>
    <w:rsid w:val="003B2DA9"/>
    <w:rsid w:val="003B35CC"/>
    <w:rsid w:val="003C0DD0"/>
    <w:rsid w:val="003C492A"/>
    <w:rsid w:val="003C5CC1"/>
    <w:rsid w:val="003C7588"/>
    <w:rsid w:val="003D1CB1"/>
    <w:rsid w:val="003E12FD"/>
    <w:rsid w:val="003E3598"/>
    <w:rsid w:val="003E6D7F"/>
    <w:rsid w:val="003F1BF3"/>
    <w:rsid w:val="003F2942"/>
    <w:rsid w:val="003F298B"/>
    <w:rsid w:val="003F43DE"/>
    <w:rsid w:val="003F51DA"/>
    <w:rsid w:val="00403695"/>
    <w:rsid w:val="00411D60"/>
    <w:rsid w:val="00412E85"/>
    <w:rsid w:val="004179D3"/>
    <w:rsid w:val="00420163"/>
    <w:rsid w:val="00425892"/>
    <w:rsid w:val="0042682C"/>
    <w:rsid w:val="0043008E"/>
    <w:rsid w:val="00430671"/>
    <w:rsid w:val="0044201D"/>
    <w:rsid w:val="00442AAC"/>
    <w:rsid w:val="004549E6"/>
    <w:rsid w:val="0045501A"/>
    <w:rsid w:val="00460F8C"/>
    <w:rsid w:val="00462AEB"/>
    <w:rsid w:val="004749AD"/>
    <w:rsid w:val="00475E5D"/>
    <w:rsid w:val="004936CC"/>
    <w:rsid w:val="00494CAF"/>
    <w:rsid w:val="004A5273"/>
    <w:rsid w:val="004B1AA6"/>
    <w:rsid w:val="004B6FF5"/>
    <w:rsid w:val="004C46A3"/>
    <w:rsid w:val="004D66A6"/>
    <w:rsid w:val="004E52CF"/>
    <w:rsid w:val="004F4CAE"/>
    <w:rsid w:val="0050045C"/>
    <w:rsid w:val="00514254"/>
    <w:rsid w:val="005165C4"/>
    <w:rsid w:val="00524A4E"/>
    <w:rsid w:val="00527DD2"/>
    <w:rsid w:val="00527EAD"/>
    <w:rsid w:val="00533A8C"/>
    <w:rsid w:val="00534731"/>
    <w:rsid w:val="00535225"/>
    <w:rsid w:val="005425D6"/>
    <w:rsid w:val="00563380"/>
    <w:rsid w:val="00563901"/>
    <w:rsid w:val="00566CCF"/>
    <w:rsid w:val="00571AF0"/>
    <w:rsid w:val="00575F4F"/>
    <w:rsid w:val="00587666"/>
    <w:rsid w:val="005974EC"/>
    <w:rsid w:val="005A2042"/>
    <w:rsid w:val="005A403A"/>
    <w:rsid w:val="005D4479"/>
    <w:rsid w:val="005D6F7D"/>
    <w:rsid w:val="005E11BF"/>
    <w:rsid w:val="005F1CC9"/>
    <w:rsid w:val="00600E8F"/>
    <w:rsid w:val="006058EB"/>
    <w:rsid w:val="0061482E"/>
    <w:rsid w:val="00616EB1"/>
    <w:rsid w:val="006301C0"/>
    <w:rsid w:val="0063144B"/>
    <w:rsid w:val="00632DB9"/>
    <w:rsid w:val="00634772"/>
    <w:rsid w:val="00636181"/>
    <w:rsid w:val="00636F08"/>
    <w:rsid w:val="006421C1"/>
    <w:rsid w:val="00653C8E"/>
    <w:rsid w:val="00655A15"/>
    <w:rsid w:val="00657F88"/>
    <w:rsid w:val="00664458"/>
    <w:rsid w:val="006661E3"/>
    <w:rsid w:val="00675056"/>
    <w:rsid w:val="00691F22"/>
    <w:rsid w:val="006A2D10"/>
    <w:rsid w:val="006A68DD"/>
    <w:rsid w:val="006B1004"/>
    <w:rsid w:val="006B7958"/>
    <w:rsid w:val="006C0E82"/>
    <w:rsid w:val="006C782F"/>
    <w:rsid w:val="006D45CE"/>
    <w:rsid w:val="006D4C09"/>
    <w:rsid w:val="006D54B2"/>
    <w:rsid w:val="006D6DC7"/>
    <w:rsid w:val="006D7A60"/>
    <w:rsid w:val="006E4DCC"/>
    <w:rsid w:val="006E7730"/>
    <w:rsid w:val="006F2DA8"/>
    <w:rsid w:val="006F3CE3"/>
    <w:rsid w:val="006F757C"/>
    <w:rsid w:val="007061A2"/>
    <w:rsid w:val="00711B80"/>
    <w:rsid w:val="00711C2B"/>
    <w:rsid w:val="00714336"/>
    <w:rsid w:val="0072032F"/>
    <w:rsid w:val="007209BC"/>
    <w:rsid w:val="00720D37"/>
    <w:rsid w:val="00721E32"/>
    <w:rsid w:val="00725B80"/>
    <w:rsid w:val="00745751"/>
    <w:rsid w:val="00751323"/>
    <w:rsid w:val="007518CF"/>
    <w:rsid w:val="0075742E"/>
    <w:rsid w:val="00757720"/>
    <w:rsid w:val="00760938"/>
    <w:rsid w:val="007779D4"/>
    <w:rsid w:val="007869A9"/>
    <w:rsid w:val="0079145A"/>
    <w:rsid w:val="00797E31"/>
    <w:rsid w:val="007A4383"/>
    <w:rsid w:val="007B0FD8"/>
    <w:rsid w:val="007F11E7"/>
    <w:rsid w:val="007F3E00"/>
    <w:rsid w:val="007F51FF"/>
    <w:rsid w:val="00821ACC"/>
    <w:rsid w:val="00822BA8"/>
    <w:rsid w:val="0083375E"/>
    <w:rsid w:val="00850622"/>
    <w:rsid w:val="00856ABE"/>
    <w:rsid w:val="00857619"/>
    <w:rsid w:val="00871BDC"/>
    <w:rsid w:val="00875EC2"/>
    <w:rsid w:val="008802C6"/>
    <w:rsid w:val="00884F8E"/>
    <w:rsid w:val="0089187C"/>
    <w:rsid w:val="00895055"/>
    <w:rsid w:val="008B1179"/>
    <w:rsid w:val="008B1414"/>
    <w:rsid w:val="008B40F4"/>
    <w:rsid w:val="008C36F9"/>
    <w:rsid w:val="008C70B9"/>
    <w:rsid w:val="008D682F"/>
    <w:rsid w:val="008F217F"/>
    <w:rsid w:val="008F4616"/>
    <w:rsid w:val="008F7281"/>
    <w:rsid w:val="0090503B"/>
    <w:rsid w:val="00905911"/>
    <w:rsid w:val="009061A1"/>
    <w:rsid w:val="009062D7"/>
    <w:rsid w:val="00912E2D"/>
    <w:rsid w:val="009151DA"/>
    <w:rsid w:val="00921E73"/>
    <w:rsid w:val="00925B86"/>
    <w:rsid w:val="00926359"/>
    <w:rsid w:val="00932700"/>
    <w:rsid w:val="00942EBF"/>
    <w:rsid w:val="00944010"/>
    <w:rsid w:val="00944304"/>
    <w:rsid w:val="00947E4C"/>
    <w:rsid w:val="0095425D"/>
    <w:rsid w:val="00955747"/>
    <w:rsid w:val="00956690"/>
    <w:rsid w:val="009602B5"/>
    <w:rsid w:val="00960973"/>
    <w:rsid w:val="00965612"/>
    <w:rsid w:val="009732CC"/>
    <w:rsid w:val="00974035"/>
    <w:rsid w:val="0098713C"/>
    <w:rsid w:val="00995BE5"/>
    <w:rsid w:val="009A4571"/>
    <w:rsid w:val="009A53FC"/>
    <w:rsid w:val="009D1A54"/>
    <w:rsid w:val="009D26D4"/>
    <w:rsid w:val="009D7EFA"/>
    <w:rsid w:val="009E2FEF"/>
    <w:rsid w:val="009F6D88"/>
    <w:rsid w:val="009F796C"/>
    <w:rsid w:val="00A16CF6"/>
    <w:rsid w:val="00A22443"/>
    <w:rsid w:val="00A231E5"/>
    <w:rsid w:val="00A26A38"/>
    <w:rsid w:val="00A33505"/>
    <w:rsid w:val="00A34A8D"/>
    <w:rsid w:val="00A434B2"/>
    <w:rsid w:val="00A4460E"/>
    <w:rsid w:val="00A51563"/>
    <w:rsid w:val="00A573CB"/>
    <w:rsid w:val="00A61BB2"/>
    <w:rsid w:val="00A66BDB"/>
    <w:rsid w:val="00A66F76"/>
    <w:rsid w:val="00A6753B"/>
    <w:rsid w:val="00A755F4"/>
    <w:rsid w:val="00A80B58"/>
    <w:rsid w:val="00A865B8"/>
    <w:rsid w:val="00A91D08"/>
    <w:rsid w:val="00A97348"/>
    <w:rsid w:val="00AA3F66"/>
    <w:rsid w:val="00AA5F72"/>
    <w:rsid w:val="00AB324E"/>
    <w:rsid w:val="00AB63CB"/>
    <w:rsid w:val="00AB653D"/>
    <w:rsid w:val="00AC2E62"/>
    <w:rsid w:val="00AD6AB0"/>
    <w:rsid w:val="00AF2402"/>
    <w:rsid w:val="00AF3530"/>
    <w:rsid w:val="00B014D9"/>
    <w:rsid w:val="00B13E05"/>
    <w:rsid w:val="00B15A80"/>
    <w:rsid w:val="00B17E8C"/>
    <w:rsid w:val="00B21F1D"/>
    <w:rsid w:val="00B33A18"/>
    <w:rsid w:val="00B35280"/>
    <w:rsid w:val="00B3591C"/>
    <w:rsid w:val="00B45FC7"/>
    <w:rsid w:val="00B522D0"/>
    <w:rsid w:val="00B52D97"/>
    <w:rsid w:val="00B63EE8"/>
    <w:rsid w:val="00B653EC"/>
    <w:rsid w:val="00B6724B"/>
    <w:rsid w:val="00B676C6"/>
    <w:rsid w:val="00B86FA2"/>
    <w:rsid w:val="00B9485B"/>
    <w:rsid w:val="00BA026A"/>
    <w:rsid w:val="00BA3533"/>
    <w:rsid w:val="00BA3C5D"/>
    <w:rsid w:val="00BB1232"/>
    <w:rsid w:val="00BC7E8A"/>
    <w:rsid w:val="00BD7AF6"/>
    <w:rsid w:val="00BE26A3"/>
    <w:rsid w:val="00BE3B4E"/>
    <w:rsid w:val="00BE48D4"/>
    <w:rsid w:val="00BE70B4"/>
    <w:rsid w:val="00BF3CAD"/>
    <w:rsid w:val="00BF73BB"/>
    <w:rsid w:val="00C00C5F"/>
    <w:rsid w:val="00C01302"/>
    <w:rsid w:val="00C04100"/>
    <w:rsid w:val="00C05789"/>
    <w:rsid w:val="00C07594"/>
    <w:rsid w:val="00C169C2"/>
    <w:rsid w:val="00C3230B"/>
    <w:rsid w:val="00C350B2"/>
    <w:rsid w:val="00C40DE8"/>
    <w:rsid w:val="00C446B3"/>
    <w:rsid w:val="00C46EE5"/>
    <w:rsid w:val="00C47C94"/>
    <w:rsid w:val="00C520C9"/>
    <w:rsid w:val="00C549F5"/>
    <w:rsid w:val="00C606E5"/>
    <w:rsid w:val="00C64BCC"/>
    <w:rsid w:val="00C83D6A"/>
    <w:rsid w:val="00C8638C"/>
    <w:rsid w:val="00C94159"/>
    <w:rsid w:val="00C95324"/>
    <w:rsid w:val="00C95387"/>
    <w:rsid w:val="00C96D06"/>
    <w:rsid w:val="00CA2E01"/>
    <w:rsid w:val="00CA4C57"/>
    <w:rsid w:val="00CC2627"/>
    <w:rsid w:val="00CD2E13"/>
    <w:rsid w:val="00CD494C"/>
    <w:rsid w:val="00CE1967"/>
    <w:rsid w:val="00CF3340"/>
    <w:rsid w:val="00CF7E37"/>
    <w:rsid w:val="00D038C5"/>
    <w:rsid w:val="00D05620"/>
    <w:rsid w:val="00D41DDF"/>
    <w:rsid w:val="00D425FD"/>
    <w:rsid w:val="00D44892"/>
    <w:rsid w:val="00D4754C"/>
    <w:rsid w:val="00D50F97"/>
    <w:rsid w:val="00D51C13"/>
    <w:rsid w:val="00D566BB"/>
    <w:rsid w:val="00D70AB1"/>
    <w:rsid w:val="00D80705"/>
    <w:rsid w:val="00D82475"/>
    <w:rsid w:val="00D82F25"/>
    <w:rsid w:val="00D83D0C"/>
    <w:rsid w:val="00D842A1"/>
    <w:rsid w:val="00D87101"/>
    <w:rsid w:val="00DA139A"/>
    <w:rsid w:val="00DA67B7"/>
    <w:rsid w:val="00DB62F4"/>
    <w:rsid w:val="00DC2849"/>
    <w:rsid w:val="00DC563F"/>
    <w:rsid w:val="00DD124D"/>
    <w:rsid w:val="00DD24D7"/>
    <w:rsid w:val="00DE6572"/>
    <w:rsid w:val="00DE728F"/>
    <w:rsid w:val="00DF509D"/>
    <w:rsid w:val="00DF5EDC"/>
    <w:rsid w:val="00DF72DD"/>
    <w:rsid w:val="00E11FBF"/>
    <w:rsid w:val="00E14AF4"/>
    <w:rsid w:val="00E15044"/>
    <w:rsid w:val="00E1608F"/>
    <w:rsid w:val="00E235E3"/>
    <w:rsid w:val="00E2751D"/>
    <w:rsid w:val="00E379DF"/>
    <w:rsid w:val="00E403B1"/>
    <w:rsid w:val="00E4656B"/>
    <w:rsid w:val="00E57081"/>
    <w:rsid w:val="00E60A69"/>
    <w:rsid w:val="00E62620"/>
    <w:rsid w:val="00E63A82"/>
    <w:rsid w:val="00E720F2"/>
    <w:rsid w:val="00E8049D"/>
    <w:rsid w:val="00E91AA7"/>
    <w:rsid w:val="00E9234C"/>
    <w:rsid w:val="00EA4713"/>
    <w:rsid w:val="00EC733D"/>
    <w:rsid w:val="00ED1CEF"/>
    <w:rsid w:val="00ED291D"/>
    <w:rsid w:val="00ED317B"/>
    <w:rsid w:val="00EE0A91"/>
    <w:rsid w:val="00EE1077"/>
    <w:rsid w:val="00EF2868"/>
    <w:rsid w:val="00EF5FA5"/>
    <w:rsid w:val="00F15FFA"/>
    <w:rsid w:val="00F266C6"/>
    <w:rsid w:val="00F26D5D"/>
    <w:rsid w:val="00F3165D"/>
    <w:rsid w:val="00F50AC5"/>
    <w:rsid w:val="00F744BA"/>
    <w:rsid w:val="00F81A76"/>
    <w:rsid w:val="00F859DD"/>
    <w:rsid w:val="00F903A7"/>
    <w:rsid w:val="00F90DE2"/>
    <w:rsid w:val="00F90E01"/>
    <w:rsid w:val="00F91ED5"/>
    <w:rsid w:val="00F97703"/>
    <w:rsid w:val="00FA3E78"/>
    <w:rsid w:val="00FA5A47"/>
    <w:rsid w:val="00FA662E"/>
    <w:rsid w:val="00FA66EB"/>
    <w:rsid w:val="00FB04E6"/>
    <w:rsid w:val="00FB4C2D"/>
    <w:rsid w:val="00FB5E7B"/>
    <w:rsid w:val="00FC2BD3"/>
    <w:rsid w:val="00FC3260"/>
    <w:rsid w:val="00FC55C6"/>
    <w:rsid w:val="00FC61F0"/>
    <w:rsid w:val="00FD290F"/>
    <w:rsid w:val="00FD6B78"/>
    <w:rsid w:val="00FE2EF1"/>
    <w:rsid w:val="00FF23B6"/>
    <w:rsid w:val="00FF6256"/>
    <w:rsid w:val="00FF7D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D2A8B"/>
  <w15:docId w15:val="{31FF0652-7B22-417E-9D0F-485E2A6E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4159"/>
    <w:pPr>
      <w:spacing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E4DCC"/>
    <w:pPr>
      <w:tabs>
        <w:tab w:val="center" w:pos="4536"/>
        <w:tab w:val="right" w:pos="9072"/>
      </w:tabs>
      <w:spacing w:before="200"/>
      <w:ind w:left="-595"/>
    </w:pPr>
    <w:rPr>
      <w:sz w:val="16"/>
    </w:rPr>
  </w:style>
  <w:style w:type="character" w:customStyle="1" w:styleId="ZhlavChar">
    <w:name w:val="Záhlaví Char"/>
    <w:basedOn w:val="Standardnpsmoodstavce"/>
    <w:link w:val="Zhlav"/>
    <w:rsid w:val="006E4DCC"/>
    <w:rPr>
      <w:rFonts w:ascii="Arial" w:hAnsi="Arial"/>
      <w:sz w:val="16"/>
    </w:rPr>
  </w:style>
  <w:style w:type="paragraph" w:styleId="Zpat">
    <w:name w:val="footer"/>
    <w:basedOn w:val="Normln"/>
    <w:link w:val="ZpatChar"/>
    <w:uiPriority w:val="99"/>
    <w:unhideWhenUsed/>
    <w:rsid w:val="00ED317B"/>
    <w:pPr>
      <w:pBdr>
        <w:top w:val="single" w:sz="2" w:space="2" w:color="997E46"/>
      </w:pBdr>
      <w:tabs>
        <w:tab w:val="right" w:pos="9072"/>
      </w:tabs>
      <w:spacing w:before="240"/>
      <w:contextualSpacing/>
      <w:jc w:val="center"/>
    </w:pPr>
    <w:rPr>
      <w:rFonts w:ascii="Garamond" w:hAnsi="Garamond"/>
      <w:sz w:val="16"/>
    </w:rPr>
  </w:style>
  <w:style w:type="character" w:customStyle="1" w:styleId="ZpatChar">
    <w:name w:val="Zápatí Char"/>
    <w:basedOn w:val="Standardnpsmoodstavce"/>
    <w:link w:val="Zpat"/>
    <w:uiPriority w:val="99"/>
    <w:rsid w:val="00ED317B"/>
    <w:rPr>
      <w:rFonts w:ascii="Garamond" w:hAnsi="Garamond"/>
      <w:sz w:val="16"/>
    </w:rPr>
  </w:style>
  <w:style w:type="paragraph" w:customStyle="1" w:styleId="Pjemce">
    <w:name w:val="Příjemce"/>
    <w:basedOn w:val="Normln"/>
    <w:qFormat/>
    <w:rsid w:val="00B653EC"/>
    <w:pPr>
      <w:spacing w:line="264" w:lineRule="auto"/>
      <w:jc w:val="right"/>
    </w:pPr>
    <w:rPr>
      <w:b/>
    </w:rPr>
  </w:style>
  <w:style w:type="paragraph" w:customStyle="1" w:styleId="Zaruenpodpis">
    <w:name w:val="Zaručený podpis"/>
    <w:basedOn w:val="Normln"/>
    <w:qFormat/>
    <w:rsid w:val="00B653EC"/>
    <w:pPr>
      <w:spacing w:before="240" w:after="240"/>
      <w:jc w:val="right"/>
    </w:pPr>
    <w:rPr>
      <w:i/>
    </w:rPr>
  </w:style>
  <w:style w:type="paragraph" w:styleId="Datum">
    <w:name w:val="Date"/>
    <w:basedOn w:val="Normln"/>
    <w:next w:val="Normln"/>
    <w:link w:val="DatumChar"/>
    <w:uiPriority w:val="99"/>
    <w:unhideWhenUsed/>
    <w:rsid w:val="00B653EC"/>
    <w:pPr>
      <w:spacing w:before="480" w:after="360"/>
      <w:jc w:val="right"/>
    </w:pPr>
  </w:style>
  <w:style w:type="character" w:customStyle="1" w:styleId="DatumChar">
    <w:name w:val="Datum Char"/>
    <w:basedOn w:val="Standardnpsmoodstavce"/>
    <w:link w:val="Datum"/>
    <w:uiPriority w:val="99"/>
    <w:rsid w:val="00B653EC"/>
    <w:rPr>
      <w:rFonts w:ascii="Arial" w:hAnsi="Arial"/>
    </w:rPr>
  </w:style>
  <w:style w:type="paragraph" w:customStyle="1" w:styleId="Vc">
    <w:name w:val="Věc"/>
    <w:basedOn w:val="Normln"/>
    <w:next w:val="Normln"/>
    <w:qFormat/>
    <w:rsid w:val="00B653EC"/>
    <w:pPr>
      <w:tabs>
        <w:tab w:val="left" w:pos="567"/>
      </w:tabs>
      <w:spacing w:before="480" w:after="480"/>
      <w:ind w:left="567" w:hanging="567"/>
    </w:pPr>
    <w:rPr>
      <w:b/>
    </w:rPr>
  </w:style>
  <w:style w:type="paragraph" w:styleId="Osloven">
    <w:name w:val="Salutation"/>
    <w:basedOn w:val="Normln"/>
    <w:next w:val="Zkladntext-prvnodsazen"/>
    <w:link w:val="OslovenChar"/>
    <w:uiPriority w:val="99"/>
    <w:unhideWhenUsed/>
    <w:rsid w:val="00895055"/>
    <w:pPr>
      <w:spacing w:after="240"/>
    </w:pPr>
  </w:style>
  <w:style w:type="character" w:customStyle="1" w:styleId="OslovenChar">
    <w:name w:val="Oslovení Char"/>
    <w:basedOn w:val="Standardnpsmoodstavce"/>
    <w:link w:val="Osloven"/>
    <w:uiPriority w:val="99"/>
    <w:rsid w:val="00895055"/>
    <w:rPr>
      <w:rFonts w:ascii="Arial" w:hAnsi="Arial"/>
    </w:rPr>
  </w:style>
  <w:style w:type="paragraph" w:styleId="Zkladntext">
    <w:name w:val="Body Text"/>
    <w:basedOn w:val="Normln"/>
    <w:link w:val="ZkladntextChar"/>
    <w:uiPriority w:val="99"/>
    <w:semiHidden/>
    <w:unhideWhenUsed/>
    <w:rsid w:val="00B653EC"/>
    <w:pPr>
      <w:spacing w:after="120"/>
    </w:pPr>
  </w:style>
  <w:style w:type="character" w:customStyle="1" w:styleId="ZkladntextChar">
    <w:name w:val="Základní text Char"/>
    <w:basedOn w:val="Standardnpsmoodstavce"/>
    <w:link w:val="Zkladntext"/>
    <w:uiPriority w:val="99"/>
    <w:semiHidden/>
    <w:rsid w:val="00B653EC"/>
    <w:rPr>
      <w:rFonts w:ascii="Arial" w:hAnsi="Arial"/>
    </w:rPr>
  </w:style>
  <w:style w:type="paragraph" w:styleId="Zkladntext-prvnodsazen">
    <w:name w:val="Body Text First Indent"/>
    <w:basedOn w:val="Normln"/>
    <w:link w:val="Zkladntext-prvnodsazenChar"/>
    <w:uiPriority w:val="99"/>
    <w:unhideWhenUsed/>
    <w:rsid w:val="00875EC2"/>
    <w:pPr>
      <w:ind w:firstLine="567"/>
    </w:pPr>
  </w:style>
  <w:style w:type="character" w:customStyle="1" w:styleId="Zkladntext-prvnodsazenChar">
    <w:name w:val="Základní text - první odsazený Char"/>
    <w:basedOn w:val="ZkladntextChar"/>
    <w:link w:val="Zkladntext-prvnodsazen"/>
    <w:uiPriority w:val="99"/>
    <w:rsid w:val="00875EC2"/>
    <w:rPr>
      <w:rFonts w:ascii="Arial" w:hAnsi="Arial"/>
    </w:rPr>
  </w:style>
  <w:style w:type="character" w:styleId="Hypertextovodkaz">
    <w:name w:val="Hyperlink"/>
    <w:basedOn w:val="Standardnpsmoodstavce"/>
    <w:uiPriority w:val="99"/>
    <w:unhideWhenUsed/>
    <w:rsid w:val="00A80B58"/>
    <w:rPr>
      <w:color w:val="0563C1" w:themeColor="hyperlink"/>
      <w:u w:val="single"/>
    </w:rPr>
  </w:style>
  <w:style w:type="paragraph" w:customStyle="1" w:styleId="Zvraznnzpat">
    <w:name w:val="Zvýraznění zápatí"/>
    <w:basedOn w:val="Poboky"/>
    <w:link w:val="ZvraznnzpatChar"/>
    <w:qFormat/>
    <w:rsid w:val="00F266C6"/>
    <w:rPr>
      <w:color w:val="997E46"/>
    </w:rPr>
  </w:style>
  <w:style w:type="paragraph" w:customStyle="1" w:styleId="Poboky">
    <w:name w:val="Pobočky"/>
    <w:basedOn w:val="Zpat"/>
    <w:qFormat/>
    <w:rsid w:val="00FE2EF1"/>
    <w:pPr>
      <w:pBdr>
        <w:top w:val="none" w:sz="0" w:space="0" w:color="auto"/>
      </w:pBdr>
      <w:spacing w:before="0"/>
      <w:contextualSpacing w:val="0"/>
      <w:jc w:val="left"/>
    </w:pPr>
  </w:style>
  <w:style w:type="character" w:customStyle="1" w:styleId="ZvraznnzpatChar">
    <w:name w:val="Zvýraznění zápatí Char"/>
    <w:basedOn w:val="ZpatChar"/>
    <w:link w:val="Zvraznnzpat"/>
    <w:rsid w:val="00F266C6"/>
    <w:rPr>
      <w:rFonts w:ascii="Garamond" w:hAnsi="Garamond"/>
      <w:color w:val="997E46"/>
      <w:sz w:val="16"/>
    </w:rPr>
  </w:style>
  <w:style w:type="character" w:styleId="slostrnky">
    <w:name w:val="page number"/>
    <w:basedOn w:val="Standardnpsmoodstavce"/>
    <w:uiPriority w:val="99"/>
    <w:unhideWhenUsed/>
    <w:rsid w:val="00FE2EF1"/>
  </w:style>
  <w:style w:type="paragraph" w:customStyle="1" w:styleId="Zpatdal">
    <w:name w:val="Zápatí další"/>
    <w:basedOn w:val="Normln"/>
    <w:qFormat/>
    <w:rsid w:val="00FE2EF1"/>
    <w:pPr>
      <w:spacing w:after="240"/>
    </w:pPr>
    <w:rPr>
      <w:sz w:val="16"/>
    </w:rPr>
  </w:style>
  <w:style w:type="paragraph" w:styleId="Zvr">
    <w:name w:val="Closing"/>
    <w:basedOn w:val="Normln"/>
    <w:link w:val="ZvrChar"/>
    <w:uiPriority w:val="99"/>
    <w:unhideWhenUsed/>
    <w:rsid w:val="003F51DA"/>
    <w:pPr>
      <w:keepNext/>
      <w:spacing w:before="720" w:after="720"/>
      <w:ind w:left="567"/>
    </w:pPr>
  </w:style>
  <w:style w:type="character" w:customStyle="1" w:styleId="ZvrChar">
    <w:name w:val="Závěr Char"/>
    <w:basedOn w:val="Standardnpsmoodstavce"/>
    <w:link w:val="Zvr"/>
    <w:uiPriority w:val="99"/>
    <w:rsid w:val="003F51DA"/>
    <w:rPr>
      <w:rFonts w:ascii="Arial" w:hAnsi="Arial"/>
    </w:rPr>
  </w:style>
  <w:style w:type="paragraph" w:styleId="Podpis">
    <w:name w:val="Signature"/>
    <w:basedOn w:val="Normln"/>
    <w:link w:val="PodpisChar"/>
    <w:uiPriority w:val="99"/>
    <w:unhideWhenUsed/>
    <w:rsid w:val="003F51DA"/>
    <w:pPr>
      <w:ind w:left="4536"/>
      <w:jc w:val="center"/>
    </w:pPr>
  </w:style>
  <w:style w:type="character" w:customStyle="1" w:styleId="PodpisChar">
    <w:name w:val="Podpis Char"/>
    <w:basedOn w:val="Standardnpsmoodstavce"/>
    <w:link w:val="Podpis"/>
    <w:uiPriority w:val="99"/>
    <w:rsid w:val="003F51DA"/>
    <w:rPr>
      <w:rFonts w:ascii="Arial" w:hAnsi="Arial"/>
    </w:rPr>
  </w:style>
  <w:style w:type="paragraph" w:customStyle="1" w:styleId="Ploha">
    <w:name w:val="Příloha"/>
    <w:basedOn w:val="Normln"/>
    <w:next w:val="Normln"/>
    <w:qFormat/>
    <w:rsid w:val="003F51DA"/>
    <w:pPr>
      <w:keepNext/>
      <w:spacing w:before="600"/>
    </w:pPr>
    <w:rPr>
      <w:b/>
    </w:rPr>
  </w:style>
  <w:style w:type="paragraph" w:styleId="Textbubliny">
    <w:name w:val="Balloon Text"/>
    <w:basedOn w:val="Normln"/>
    <w:link w:val="TextbublinyChar"/>
    <w:uiPriority w:val="99"/>
    <w:semiHidden/>
    <w:unhideWhenUsed/>
    <w:rsid w:val="00DA67B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7B7"/>
    <w:rPr>
      <w:rFonts w:ascii="Segoe UI" w:hAnsi="Segoe UI" w:cs="Segoe UI"/>
      <w:sz w:val="18"/>
      <w:szCs w:val="18"/>
    </w:rPr>
  </w:style>
  <w:style w:type="paragraph" w:styleId="Zkladntextodsazen">
    <w:name w:val="Body Text Indent"/>
    <w:basedOn w:val="Normln"/>
    <w:link w:val="ZkladntextodsazenChar"/>
    <w:uiPriority w:val="99"/>
    <w:semiHidden/>
    <w:unhideWhenUsed/>
    <w:rsid w:val="005F1CC9"/>
    <w:pPr>
      <w:spacing w:after="120"/>
      <w:ind w:left="283"/>
    </w:pPr>
  </w:style>
  <w:style w:type="character" w:customStyle="1" w:styleId="ZkladntextodsazenChar">
    <w:name w:val="Základní text odsazený Char"/>
    <w:basedOn w:val="Standardnpsmoodstavce"/>
    <w:link w:val="Zkladntextodsazen"/>
    <w:uiPriority w:val="99"/>
    <w:semiHidden/>
    <w:rsid w:val="005F1CC9"/>
    <w:rPr>
      <w:rFonts w:ascii="Arial" w:hAnsi="Arial"/>
    </w:rPr>
  </w:style>
  <w:style w:type="character" w:styleId="Siln">
    <w:name w:val="Strong"/>
    <w:basedOn w:val="Standardnpsmoodstavce"/>
    <w:uiPriority w:val="22"/>
    <w:qFormat/>
    <w:rsid w:val="005F1CC9"/>
    <w:rPr>
      <w:b/>
      <w:bCs/>
    </w:rPr>
  </w:style>
  <w:style w:type="paragraph" w:styleId="Odstavecseseznamem">
    <w:name w:val="List Paragraph"/>
    <w:basedOn w:val="Normln"/>
    <w:uiPriority w:val="34"/>
    <w:qFormat/>
    <w:rsid w:val="005F1CC9"/>
    <w:pPr>
      <w:spacing w:after="200" w:line="276" w:lineRule="auto"/>
      <w:ind w:left="720"/>
      <w:contextualSpacing/>
    </w:pPr>
    <w:rPr>
      <w:rFonts w:asciiTheme="minorHAnsi" w:hAnsiTheme="minorHAnsi"/>
    </w:rPr>
  </w:style>
  <w:style w:type="paragraph" w:customStyle="1" w:styleId="Odstavecseseznamem1">
    <w:name w:val="Odstavec se seznamem1"/>
    <w:basedOn w:val="Normln"/>
    <w:rsid w:val="00140F45"/>
    <w:pPr>
      <w:widowControl w:val="0"/>
      <w:suppressAutoHyphens/>
      <w:spacing w:after="200" w:line="276" w:lineRule="auto"/>
      <w:ind w:left="720"/>
      <w:contextualSpacing/>
    </w:pPr>
    <w:rPr>
      <w:rFonts w:ascii="Calibri" w:eastAsia="SimSun" w:hAnsi="Calibri" w:cs="Mangal"/>
      <w:kern w:val="1"/>
      <w:sz w:val="24"/>
      <w:szCs w:val="24"/>
      <w:lang w:eastAsia="zh-CN" w:bidi="hi-IN"/>
    </w:rPr>
  </w:style>
  <w:style w:type="character" w:customStyle="1" w:styleId="apple-converted-space">
    <w:name w:val="apple-converted-space"/>
    <w:basedOn w:val="Standardnpsmoodstavce"/>
    <w:rsid w:val="00C94159"/>
  </w:style>
  <w:style w:type="character" w:styleId="PromnnHTML">
    <w:name w:val="HTML Variable"/>
    <w:basedOn w:val="Standardnpsmoodstavce"/>
    <w:uiPriority w:val="99"/>
    <w:semiHidden/>
    <w:unhideWhenUsed/>
    <w:rsid w:val="00C94159"/>
    <w:rPr>
      <w:i/>
      <w:iCs/>
    </w:rPr>
  </w:style>
  <w:style w:type="character" w:styleId="Odkaznakoment">
    <w:name w:val="annotation reference"/>
    <w:basedOn w:val="Standardnpsmoodstavce"/>
    <w:uiPriority w:val="99"/>
    <w:semiHidden/>
    <w:unhideWhenUsed/>
    <w:rsid w:val="008F217F"/>
    <w:rPr>
      <w:sz w:val="16"/>
      <w:szCs w:val="16"/>
    </w:rPr>
  </w:style>
  <w:style w:type="paragraph" w:styleId="Textkomente">
    <w:name w:val="annotation text"/>
    <w:basedOn w:val="Normln"/>
    <w:link w:val="TextkomenteChar"/>
    <w:uiPriority w:val="99"/>
    <w:unhideWhenUsed/>
    <w:rsid w:val="008F217F"/>
    <w:rPr>
      <w:sz w:val="20"/>
      <w:szCs w:val="20"/>
    </w:rPr>
  </w:style>
  <w:style w:type="character" w:customStyle="1" w:styleId="TextkomenteChar">
    <w:name w:val="Text komentáře Char"/>
    <w:basedOn w:val="Standardnpsmoodstavce"/>
    <w:link w:val="Textkomente"/>
    <w:uiPriority w:val="99"/>
    <w:rsid w:val="008F217F"/>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F217F"/>
    <w:rPr>
      <w:b/>
      <w:bCs/>
    </w:rPr>
  </w:style>
  <w:style w:type="character" w:customStyle="1" w:styleId="PedmtkomenteChar">
    <w:name w:val="Předmět komentáře Char"/>
    <w:basedOn w:val="TextkomenteChar"/>
    <w:link w:val="Pedmtkomente"/>
    <w:uiPriority w:val="99"/>
    <w:semiHidden/>
    <w:rsid w:val="008F217F"/>
    <w:rPr>
      <w:rFonts w:ascii="Arial" w:hAnsi="Arial"/>
      <w:b/>
      <w:bCs/>
      <w:sz w:val="20"/>
      <w:szCs w:val="20"/>
    </w:rPr>
  </w:style>
  <w:style w:type="paragraph" w:styleId="Revize">
    <w:name w:val="Revision"/>
    <w:hidden/>
    <w:uiPriority w:val="99"/>
    <w:semiHidden/>
    <w:rsid w:val="000B04A7"/>
    <w:pPr>
      <w:spacing w:after="0" w:line="240" w:lineRule="auto"/>
    </w:pPr>
    <w:rPr>
      <w:rFonts w:ascii="Arial" w:hAnsi="Arial"/>
    </w:rPr>
  </w:style>
  <w:style w:type="paragraph" w:customStyle="1" w:styleId="paragraph">
    <w:name w:val="paragraph"/>
    <w:basedOn w:val="Normln"/>
    <w:rsid w:val="00C520C9"/>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C520C9"/>
  </w:style>
  <w:style w:type="character" w:customStyle="1" w:styleId="superscript">
    <w:name w:val="superscript"/>
    <w:basedOn w:val="Standardnpsmoodstavce"/>
    <w:rsid w:val="00C520C9"/>
  </w:style>
  <w:style w:type="character" w:customStyle="1" w:styleId="eop">
    <w:name w:val="eop"/>
    <w:basedOn w:val="Standardnpsmoodstavce"/>
    <w:rsid w:val="00C520C9"/>
  </w:style>
  <w:style w:type="character" w:customStyle="1" w:styleId="wacimagecontainer">
    <w:name w:val="wacimagecontainer"/>
    <w:basedOn w:val="Standardnpsmoodstavce"/>
    <w:rsid w:val="00C52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362">
      <w:bodyDiv w:val="1"/>
      <w:marLeft w:val="0"/>
      <w:marRight w:val="0"/>
      <w:marTop w:val="0"/>
      <w:marBottom w:val="0"/>
      <w:divBdr>
        <w:top w:val="none" w:sz="0" w:space="0" w:color="auto"/>
        <w:left w:val="none" w:sz="0" w:space="0" w:color="auto"/>
        <w:bottom w:val="none" w:sz="0" w:space="0" w:color="auto"/>
        <w:right w:val="none" w:sz="0" w:space="0" w:color="auto"/>
      </w:divBdr>
    </w:div>
    <w:div w:id="54281480">
      <w:bodyDiv w:val="1"/>
      <w:marLeft w:val="0"/>
      <w:marRight w:val="0"/>
      <w:marTop w:val="0"/>
      <w:marBottom w:val="0"/>
      <w:divBdr>
        <w:top w:val="none" w:sz="0" w:space="0" w:color="auto"/>
        <w:left w:val="none" w:sz="0" w:space="0" w:color="auto"/>
        <w:bottom w:val="none" w:sz="0" w:space="0" w:color="auto"/>
        <w:right w:val="none" w:sz="0" w:space="0" w:color="auto"/>
      </w:divBdr>
      <w:divsChild>
        <w:div w:id="1685785206">
          <w:marLeft w:val="0"/>
          <w:marRight w:val="0"/>
          <w:marTop w:val="0"/>
          <w:marBottom w:val="0"/>
          <w:divBdr>
            <w:top w:val="none" w:sz="0" w:space="0" w:color="auto"/>
            <w:left w:val="none" w:sz="0" w:space="0" w:color="auto"/>
            <w:bottom w:val="none" w:sz="0" w:space="0" w:color="auto"/>
            <w:right w:val="none" w:sz="0" w:space="0" w:color="auto"/>
          </w:divBdr>
        </w:div>
        <w:div w:id="1338539921">
          <w:marLeft w:val="0"/>
          <w:marRight w:val="0"/>
          <w:marTop w:val="0"/>
          <w:marBottom w:val="0"/>
          <w:divBdr>
            <w:top w:val="none" w:sz="0" w:space="0" w:color="auto"/>
            <w:left w:val="none" w:sz="0" w:space="0" w:color="auto"/>
            <w:bottom w:val="none" w:sz="0" w:space="0" w:color="auto"/>
            <w:right w:val="none" w:sz="0" w:space="0" w:color="auto"/>
          </w:divBdr>
        </w:div>
      </w:divsChild>
    </w:div>
    <w:div w:id="109595586">
      <w:bodyDiv w:val="1"/>
      <w:marLeft w:val="0"/>
      <w:marRight w:val="0"/>
      <w:marTop w:val="0"/>
      <w:marBottom w:val="0"/>
      <w:divBdr>
        <w:top w:val="none" w:sz="0" w:space="0" w:color="auto"/>
        <w:left w:val="none" w:sz="0" w:space="0" w:color="auto"/>
        <w:bottom w:val="none" w:sz="0" w:space="0" w:color="auto"/>
        <w:right w:val="none" w:sz="0" w:space="0" w:color="auto"/>
      </w:divBdr>
    </w:div>
    <w:div w:id="530722629">
      <w:bodyDiv w:val="1"/>
      <w:marLeft w:val="0"/>
      <w:marRight w:val="0"/>
      <w:marTop w:val="0"/>
      <w:marBottom w:val="0"/>
      <w:divBdr>
        <w:top w:val="none" w:sz="0" w:space="0" w:color="auto"/>
        <w:left w:val="none" w:sz="0" w:space="0" w:color="auto"/>
        <w:bottom w:val="none" w:sz="0" w:space="0" w:color="auto"/>
        <w:right w:val="none" w:sz="0" w:space="0" w:color="auto"/>
      </w:divBdr>
    </w:div>
    <w:div w:id="533494457">
      <w:bodyDiv w:val="1"/>
      <w:marLeft w:val="0"/>
      <w:marRight w:val="0"/>
      <w:marTop w:val="0"/>
      <w:marBottom w:val="0"/>
      <w:divBdr>
        <w:top w:val="none" w:sz="0" w:space="0" w:color="auto"/>
        <w:left w:val="none" w:sz="0" w:space="0" w:color="auto"/>
        <w:bottom w:val="none" w:sz="0" w:space="0" w:color="auto"/>
        <w:right w:val="none" w:sz="0" w:space="0" w:color="auto"/>
      </w:divBdr>
    </w:div>
    <w:div w:id="578561254">
      <w:bodyDiv w:val="1"/>
      <w:marLeft w:val="0"/>
      <w:marRight w:val="0"/>
      <w:marTop w:val="0"/>
      <w:marBottom w:val="0"/>
      <w:divBdr>
        <w:top w:val="none" w:sz="0" w:space="0" w:color="auto"/>
        <w:left w:val="none" w:sz="0" w:space="0" w:color="auto"/>
        <w:bottom w:val="none" w:sz="0" w:space="0" w:color="auto"/>
        <w:right w:val="none" w:sz="0" w:space="0" w:color="auto"/>
      </w:divBdr>
    </w:div>
    <w:div w:id="948318294">
      <w:bodyDiv w:val="1"/>
      <w:marLeft w:val="0"/>
      <w:marRight w:val="0"/>
      <w:marTop w:val="0"/>
      <w:marBottom w:val="0"/>
      <w:divBdr>
        <w:top w:val="none" w:sz="0" w:space="0" w:color="auto"/>
        <w:left w:val="none" w:sz="0" w:space="0" w:color="auto"/>
        <w:bottom w:val="none" w:sz="0" w:space="0" w:color="auto"/>
        <w:right w:val="none" w:sz="0" w:space="0" w:color="auto"/>
      </w:divBdr>
    </w:div>
    <w:div w:id="1219127182">
      <w:bodyDiv w:val="1"/>
      <w:marLeft w:val="0"/>
      <w:marRight w:val="0"/>
      <w:marTop w:val="0"/>
      <w:marBottom w:val="0"/>
      <w:divBdr>
        <w:top w:val="none" w:sz="0" w:space="0" w:color="auto"/>
        <w:left w:val="none" w:sz="0" w:space="0" w:color="auto"/>
        <w:bottom w:val="none" w:sz="0" w:space="0" w:color="auto"/>
        <w:right w:val="none" w:sz="0" w:space="0" w:color="auto"/>
      </w:divBdr>
      <w:divsChild>
        <w:div w:id="763378806">
          <w:marLeft w:val="0"/>
          <w:marRight w:val="0"/>
          <w:marTop w:val="0"/>
          <w:marBottom w:val="192"/>
          <w:divBdr>
            <w:top w:val="none" w:sz="0" w:space="0" w:color="auto"/>
            <w:left w:val="none" w:sz="0" w:space="0" w:color="auto"/>
            <w:bottom w:val="none" w:sz="0" w:space="0" w:color="auto"/>
            <w:right w:val="none" w:sz="0" w:space="0" w:color="auto"/>
          </w:divBdr>
          <w:divsChild>
            <w:div w:id="912160310">
              <w:marLeft w:val="0"/>
              <w:marRight w:val="24"/>
              <w:marTop w:val="0"/>
              <w:marBottom w:val="0"/>
              <w:divBdr>
                <w:top w:val="none" w:sz="0" w:space="0" w:color="auto"/>
                <w:left w:val="none" w:sz="0" w:space="0" w:color="auto"/>
                <w:bottom w:val="none" w:sz="0" w:space="0" w:color="auto"/>
                <w:right w:val="none" w:sz="0" w:space="0" w:color="auto"/>
              </w:divBdr>
            </w:div>
          </w:divsChild>
        </w:div>
        <w:div w:id="287902626">
          <w:marLeft w:val="0"/>
          <w:marRight w:val="0"/>
          <w:marTop w:val="0"/>
          <w:marBottom w:val="192"/>
          <w:divBdr>
            <w:top w:val="none" w:sz="0" w:space="0" w:color="auto"/>
            <w:left w:val="none" w:sz="0" w:space="0" w:color="auto"/>
            <w:bottom w:val="none" w:sz="0" w:space="0" w:color="auto"/>
            <w:right w:val="none" w:sz="0" w:space="0" w:color="auto"/>
          </w:divBdr>
        </w:div>
        <w:div w:id="1569727517">
          <w:marLeft w:val="0"/>
          <w:marRight w:val="0"/>
          <w:marTop w:val="0"/>
          <w:marBottom w:val="192"/>
          <w:divBdr>
            <w:top w:val="none" w:sz="0" w:space="0" w:color="auto"/>
            <w:left w:val="none" w:sz="0" w:space="0" w:color="auto"/>
            <w:bottom w:val="none" w:sz="0" w:space="0" w:color="auto"/>
            <w:right w:val="none" w:sz="0" w:space="0" w:color="auto"/>
          </w:divBdr>
          <w:divsChild>
            <w:div w:id="1380859801">
              <w:marLeft w:val="0"/>
              <w:marRight w:val="24"/>
              <w:marTop w:val="0"/>
              <w:marBottom w:val="0"/>
              <w:divBdr>
                <w:top w:val="none" w:sz="0" w:space="0" w:color="auto"/>
                <w:left w:val="none" w:sz="0" w:space="0" w:color="auto"/>
                <w:bottom w:val="none" w:sz="0" w:space="0" w:color="auto"/>
                <w:right w:val="none" w:sz="0" w:space="0" w:color="auto"/>
              </w:divBdr>
            </w:div>
          </w:divsChild>
        </w:div>
        <w:div w:id="1827239933">
          <w:marLeft w:val="0"/>
          <w:marRight w:val="0"/>
          <w:marTop w:val="0"/>
          <w:marBottom w:val="192"/>
          <w:divBdr>
            <w:top w:val="none" w:sz="0" w:space="0" w:color="auto"/>
            <w:left w:val="none" w:sz="0" w:space="0" w:color="auto"/>
            <w:bottom w:val="none" w:sz="0" w:space="0" w:color="auto"/>
            <w:right w:val="none" w:sz="0" w:space="0" w:color="auto"/>
          </w:divBdr>
        </w:div>
        <w:div w:id="1309358194">
          <w:marLeft w:val="0"/>
          <w:marRight w:val="0"/>
          <w:marTop w:val="0"/>
          <w:marBottom w:val="192"/>
          <w:divBdr>
            <w:top w:val="none" w:sz="0" w:space="0" w:color="auto"/>
            <w:left w:val="none" w:sz="0" w:space="0" w:color="auto"/>
            <w:bottom w:val="none" w:sz="0" w:space="0" w:color="auto"/>
            <w:right w:val="none" w:sz="0" w:space="0" w:color="auto"/>
          </w:divBdr>
        </w:div>
        <w:div w:id="75985306">
          <w:marLeft w:val="0"/>
          <w:marRight w:val="0"/>
          <w:marTop w:val="0"/>
          <w:marBottom w:val="192"/>
          <w:divBdr>
            <w:top w:val="none" w:sz="0" w:space="0" w:color="auto"/>
            <w:left w:val="none" w:sz="0" w:space="0" w:color="auto"/>
            <w:bottom w:val="none" w:sz="0" w:space="0" w:color="auto"/>
            <w:right w:val="none" w:sz="0" w:space="0" w:color="auto"/>
          </w:divBdr>
        </w:div>
        <w:div w:id="1497956442">
          <w:marLeft w:val="0"/>
          <w:marRight w:val="0"/>
          <w:marTop w:val="0"/>
          <w:marBottom w:val="192"/>
          <w:divBdr>
            <w:top w:val="none" w:sz="0" w:space="0" w:color="auto"/>
            <w:left w:val="none" w:sz="0" w:space="0" w:color="auto"/>
            <w:bottom w:val="none" w:sz="0" w:space="0" w:color="auto"/>
            <w:right w:val="none" w:sz="0" w:space="0" w:color="auto"/>
          </w:divBdr>
        </w:div>
        <w:div w:id="160899356">
          <w:marLeft w:val="0"/>
          <w:marRight w:val="0"/>
          <w:marTop w:val="0"/>
          <w:marBottom w:val="192"/>
          <w:divBdr>
            <w:top w:val="none" w:sz="0" w:space="0" w:color="auto"/>
            <w:left w:val="none" w:sz="0" w:space="0" w:color="auto"/>
            <w:bottom w:val="none" w:sz="0" w:space="0" w:color="auto"/>
            <w:right w:val="none" w:sz="0" w:space="0" w:color="auto"/>
          </w:divBdr>
          <w:divsChild>
            <w:div w:id="105662339">
              <w:marLeft w:val="0"/>
              <w:marRight w:val="0"/>
              <w:marTop w:val="0"/>
              <w:marBottom w:val="0"/>
              <w:divBdr>
                <w:top w:val="none" w:sz="0" w:space="0" w:color="auto"/>
                <w:left w:val="none" w:sz="0" w:space="0" w:color="auto"/>
                <w:bottom w:val="none" w:sz="0" w:space="0" w:color="auto"/>
                <w:right w:val="none" w:sz="0" w:space="0" w:color="auto"/>
              </w:divBdr>
            </w:div>
          </w:divsChild>
        </w:div>
        <w:div w:id="1070494706">
          <w:marLeft w:val="0"/>
          <w:marRight w:val="0"/>
          <w:marTop w:val="0"/>
          <w:marBottom w:val="192"/>
          <w:divBdr>
            <w:top w:val="none" w:sz="0" w:space="0" w:color="auto"/>
            <w:left w:val="none" w:sz="0" w:space="0" w:color="auto"/>
            <w:bottom w:val="none" w:sz="0" w:space="0" w:color="auto"/>
            <w:right w:val="none" w:sz="0" w:space="0" w:color="auto"/>
          </w:divBdr>
        </w:div>
        <w:div w:id="1320575739">
          <w:marLeft w:val="0"/>
          <w:marRight w:val="0"/>
          <w:marTop w:val="0"/>
          <w:marBottom w:val="192"/>
          <w:divBdr>
            <w:top w:val="none" w:sz="0" w:space="0" w:color="auto"/>
            <w:left w:val="none" w:sz="0" w:space="0" w:color="auto"/>
            <w:bottom w:val="none" w:sz="0" w:space="0" w:color="auto"/>
            <w:right w:val="none" w:sz="0" w:space="0" w:color="auto"/>
          </w:divBdr>
          <w:divsChild>
            <w:div w:id="994063285">
              <w:marLeft w:val="0"/>
              <w:marRight w:val="0"/>
              <w:marTop w:val="0"/>
              <w:marBottom w:val="0"/>
              <w:divBdr>
                <w:top w:val="none" w:sz="0" w:space="0" w:color="auto"/>
                <w:left w:val="none" w:sz="0" w:space="0" w:color="auto"/>
                <w:bottom w:val="none" w:sz="0" w:space="0" w:color="auto"/>
                <w:right w:val="none" w:sz="0" w:space="0" w:color="auto"/>
              </w:divBdr>
            </w:div>
          </w:divsChild>
        </w:div>
        <w:div w:id="1751660103">
          <w:marLeft w:val="0"/>
          <w:marRight w:val="0"/>
          <w:marTop w:val="0"/>
          <w:marBottom w:val="192"/>
          <w:divBdr>
            <w:top w:val="none" w:sz="0" w:space="0" w:color="auto"/>
            <w:left w:val="none" w:sz="0" w:space="0" w:color="auto"/>
            <w:bottom w:val="none" w:sz="0" w:space="0" w:color="auto"/>
            <w:right w:val="none" w:sz="0" w:space="0" w:color="auto"/>
          </w:divBdr>
        </w:div>
      </w:divsChild>
    </w:div>
    <w:div w:id="1563636033">
      <w:bodyDiv w:val="1"/>
      <w:marLeft w:val="0"/>
      <w:marRight w:val="0"/>
      <w:marTop w:val="0"/>
      <w:marBottom w:val="0"/>
      <w:divBdr>
        <w:top w:val="none" w:sz="0" w:space="0" w:color="auto"/>
        <w:left w:val="none" w:sz="0" w:space="0" w:color="auto"/>
        <w:bottom w:val="none" w:sz="0" w:space="0" w:color="auto"/>
        <w:right w:val="none" w:sz="0" w:space="0" w:color="auto"/>
      </w:divBdr>
      <w:divsChild>
        <w:div w:id="47580874">
          <w:marLeft w:val="0"/>
          <w:marRight w:val="0"/>
          <w:marTop w:val="0"/>
          <w:marBottom w:val="192"/>
          <w:divBdr>
            <w:top w:val="none" w:sz="0" w:space="0" w:color="auto"/>
            <w:left w:val="none" w:sz="0" w:space="0" w:color="auto"/>
            <w:bottom w:val="none" w:sz="0" w:space="0" w:color="auto"/>
            <w:right w:val="none" w:sz="0" w:space="0" w:color="auto"/>
          </w:divBdr>
        </w:div>
        <w:div w:id="2085755168">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5EA6F-40FB-411B-B0C7-44A07DAC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6299</Words>
  <Characters>37169</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Bernard</dc:creator>
  <cp:lastModifiedBy>Karla Chlumská</cp:lastModifiedBy>
  <cp:revision>3</cp:revision>
  <dcterms:created xsi:type="dcterms:W3CDTF">2025-09-18T07:49:00Z</dcterms:created>
  <dcterms:modified xsi:type="dcterms:W3CDTF">2025-09-18T08:16:00Z</dcterms:modified>
</cp:coreProperties>
</file>